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£407 BILLION:</w:t>
        <w:br/>
        <w:t>TWO VERY DIFFERENT ANSWERS TO BRITAIN'S WELFARE BILL</w:t>
      </w:r>
    </w:p>
    <w:p>
      <w:r>
        <w:rPr>
          <w:b w:val="0"/>
        </w:rPr>
        <w:t xml:space="preserve">Britain's welfare bill is forecast to reach </w:t>
      </w:r>
      <w:r>
        <w:rPr>
          <w:b/>
        </w:rPr>
        <w:t>£406.9 billion a year by 2030-31</w:t>
      </w:r>
      <w:r>
        <w:t xml:space="preserve"> - 11.2% of GDP. That is the Office for Budget Responsibility's forecast, not a party campaign figure.</w:t>
      </w:r>
    </w:p>
    <w:p>
      <w:r>
        <w:t xml:space="preserve">Against that backdrop, the Conservatives have announced a new long-term unemployment measure they estimate would save about </w:t>
      </w:r>
      <w:r>
        <w:rPr>
          <w:b/>
        </w:rPr>
        <w:t>£538-£540 million a year</w:t>
      </w:r>
      <w:r>
        <w:t xml:space="preserve">. Reform UK, by contrast, says its much broader welfare package would save around </w:t>
      </w:r>
      <w:r>
        <w:rPr>
          <w:b/>
        </w:rPr>
        <w:t>£50 billion a year by 2030</w:t>
      </w:r>
      <w:r>
        <w:t>. The two figures are not like-for-like costings: one is a specific Conservative measure and the other is Reform's wider package. But the difference in scope is central to the political argument.</w:t>
      </w:r>
    </w:p>
    <w:p>
      <w:pPr>
        <w:pStyle w:val="Heading1"/>
      </w:pPr>
      <w:r>
        <w:t>THE CONSERVATIVE PROPOSAL: A RESTRICTED BENEFIT CARD</w:t>
      </w:r>
    </w:p>
    <w:p>
      <w:r>
        <w:t>Kemi Badenoch's proposal would create a two-tier system for unemployed Universal Credit claimants. New claimants would initially receive the full rate. After six months, how long they remained on that rate would depend on their previous contribution record. Those without enough qualifying history would move to a lower 'subsistence allowance', set at 70% of the normal rate.</w:t>
      </w:r>
    </w:p>
    <w:p>
      <w:r>
        <w:t>For those on the lower allowance, cash would be replaced by a restricted pre-paid 'back-to-work' card. Reporting has compared the concept with overseas benefit-card and US food-assistance systems because spending on specified products would be blocked.</w:t>
      </w:r>
    </w:p>
    <w:p>
      <w:r>
        <w:t xml:space="preserve">The Conservatives estimate roughly 350,000 long-term unemployed people would eventually be affected and put the annual saving at about </w:t>
      </w:r>
      <w:r>
        <w:rPr>
          <w:b/>
        </w:rPr>
        <w:t>£540 million</w:t>
      </w:r>
      <w:r>
        <w:t xml:space="preserve">. Against a £406.9 billion projected welfare bill, that is about </w:t>
      </w:r>
      <w:r>
        <w:rPr>
          <w:b/>
        </w:rPr>
        <w:t>0.13%</w:t>
      </w:r>
      <w:r>
        <w:t xml:space="preserve"> of the total. The Conservatives have other welfare policies as well; this is the estimated saving attached to this particular measure.</w:t>
      </w:r>
    </w:p>
    <w:p>
      <w:pPr>
        <w:pStyle w:val="Heading1"/>
      </w:pPr>
      <w:r>
        <w:t>REFORM UK: A MUCH WIDER PACKAGE</w:t>
      </w:r>
    </w:p>
    <w:p>
      <w:r>
        <w:t xml:space="preserve">Reform UK's published 'Making Welfare Work' programme is much broader. Its proposals include restricting most working-age welfare benefits to </w:t>
      </w:r>
      <w:r>
        <w:rPr>
          <w:b/>
        </w:rPr>
        <w:t>British citizens</w:t>
      </w:r>
      <w:r>
        <w:t>, changes to health and disability benefits, welfare-to-work measures, action on fraud and error, compulsory community work for some work-capable long-term unemployed claimants, and restoring the two-child limit.</w:t>
      </w:r>
    </w:p>
    <w:p>
      <w:r>
        <w:t xml:space="preserve">Reform estimates the complete package would save approximately </w:t>
      </w:r>
      <w:r>
        <w:rPr>
          <w:b/>
        </w:rPr>
        <w:t>£50 billion annually by 2030</w:t>
      </w:r>
      <w:r>
        <w:t>. That is Reform's own projection rather than a guaranteed outturn, and independent analysts have noted that eventual savings would depend heavily on implementation and behavioural responses.</w:t>
      </w:r>
    </w:p>
    <w:p>
      <w:pPr>
        <w:pStyle w:val="Heading1"/>
      </w:pPr>
      <w:r>
        <w:t>WHY NATIONALITY IS PART OF REFORM'S ARGUMENT</w:t>
      </w:r>
    </w:p>
    <w:p>
      <w:r>
        <w:t xml:space="preserve">Recent figures add important context to Reform's citizenship proposal. Department for Work and Pensions data obtained under Freedom of Information legislation showed that households containing </w:t>
      </w:r>
      <w:r>
        <w:rPr>
          <w:b/>
        </w:rPr>
        <w:t>at least one foreign national received £11.9 billion in Universal Credit during 2025</w:t>
      </w:r>
      <w:r>
        <w:t>, up from £9.5 billion in 2024 and £7.5 billion in 2023. Those households accounted for 15.6% of Universal Credit payments in 2025.</w:t>
      </w:r>
    </w:p>
    <w:p>
      <w:r>
        <w:t xml:space="preserve">The wording matters: this does </w:t>
      </w:r>
      <w:r>
        <w:rPr>
          <w:b/>
        </w:rPr>
        <w:t>not</w:t>
      </w:r>
      <w:r>
        <w:t xml:space="preserve"> mean £11.9 billion was paid solely to foreign nationals. The measure covers a household containing at least one foreign national, which may also contain British citizens. Eligibility for non-Common-Travel-Area citizens depends on immigration status and whether they have recourse to public funds.</w:t>
      </w:r>
    </w:p>
    <w:p>
      <w:r>
        <w:t>Separately, DWP's May 2026 claimant statistics show 84.5% of people on Universal Credit were recorded in the UK/Ireland/right-of-abode category, while 15.5% were recorded across EU Settlement Scheme, indefinite leave to remain, refugee, humanitarian, limited-leave and other/no-status-recorded categories. DWP cautions that immigration status, rather than nationality alone, determines entitlement for non-CTA citizens.</w:t>
      </w:r>
    </w:p>
    <w:p>
      <w:pPr>
        <w:pStyle w:val="Heading1"/>
      </w:pPr>
      <w:r>
        <w:t>LABOUR'S TWO-CHILD LIMIT DECISION HAS A MULTI-BILLION-POUND PRICE TAG</w:t>
      </w:r>
    </w:p>
    <w:p>
      <w:r>
        <w:t xml:space="preserve">Labour removed the Universal Credit two-child limit from April 2026. The OBR estimates the policy will cost </w:t>
      </w:r>
      <w:r>
        <w:rPr>
          <w:b/>
        </w:rPr>
        <w:t>£2.3 billion in 2026-27</w:t>
      </w:r>
      <w:r>
        <w:t xml:space="preserve">, rising to </w:t>
      </w:r>
      <w:r>
        <w:rPr>
          <w:b/>
        </w:rPr>
        <w:t>£3.0 billion in 2029-30 and £3.1 billion in 2030-31</w:t>
      </w:r>
      <w:r>
        <w:t>.</w:t>
      </w:r>
    </w:p>
    <w:p>
      <w:r>
        <w:t xml:space="preserve">By 2029-30 the OBR expects about </w:t>
      </w:r>
      <w:r>
        <w:rPr>
          <w:b/>
        </w:rPr>
        <w:t>560,000 families</w:t>
      </w:r>
      <w:r>
        <w:t xml:space="preserve"> to receive a higher Universal Credit award because of the change, gaining an average </w:t>
      </w:r>
      <w:r>
        <w:rPr>
          <w:b/>
        </w:rPr>
        <w:t>£5,310 a year</w:t>
      </w:r>
      <w:r>
        <w:t>. The Government's stated case is that removing the limit will reduce child poverty by about 450,000 children by 2029-30.</w:t>
      </w:r>
    </w:p>
    <w:p>
      <w:r>
        <w:t>DWP's final statistics before abolition show the scale of the population affected. In April 2026, 495,990 Universal Credit households were affected by the two-child limit; 478,120 were not receiving a child element for at least one child because of it, and 436,780 were expected to see their award rise after abolition. Among affected households, 64% had three children, 25% had four, 8% had five and 4% had six or more.</w:t>
      </w:r>
    </w:p>
    <w:p>
      <w:pPr>
        <w:pStyle w:val="Heading1"/>
      </w:pPr>
      <w:r>
        <w:t>BIRTHS, ETHNICITY AND COUNTRY OF BIRTH</w:t>
      </w:r>
    </w:p>
    <w:p>
      <w:r>
        <w:t>The demographic dimension should be described carefully because ethnicity, nationality and country of birth are different measures. The latest ONS birth statistics nevertheless show a substantial and growing foreign-born-parent component in births in England and Wales.</w:t>
      </w:r>
    </w:p>
    <w:p>
      <w:r>
        <w:t xml:space="preserve">In 2025, </w:t>
      </w:r>
      <w:r>
        <w:rPr>
          <w:b/>
        </w:rPr>
        <w:t>40.2% of live births in England and Wales had at least one parent born outside the UK</w:t>
      </w:r>
      <w:r>
        <w:t>, up from 39.5% in 2024. Non-UK-born mothers accounted for 34.6% of live births in 2025, up from 33.9% in 2024. India was the most common country of birth among non-UK-born mothers and fathers, followed by Pakistan and Nigeria.</w:t>
      </w:r>
    </w:p>
    <w:p>
      <w:r>
        <w:t>DWP's April 2026 two-child-limit statistics also provide an ethnicity breakdown. Among affected households where ethnicity was specified, 69% had at least one White claimant, including 64% with at least one White British claimant; 15% had an Asian claimant, 8% a Black claimant, 3% an Arab claimant, 3% a Mixed-ethnicity claimant and 4% a claimant in another ethnic group. Because households can contain claimants of different ethnicities, and because 17% of affected households had unspecified ethnicity, these percentages should not be treated as a simple fertility-rate table.</w:t>
      </w:r>
    </w:p>
    <w:p>
      <w:r>
        <w:t>What can be said safely is that abolishing the two-child limit increases payments specifically to households with third and subsequent children. Therefore demographic groups with a larger share of such households will, all else equal, receive a larger share of the additional spending. Establishing the exact distribution requires the DWP household data rather than assuming it from ethnicity or migration status alone.</w:t>
      </w:r>
    </w:p>
    <w:p>
      <w:pPr>
        <w:pStyle w:val="Heading1"/>
      </w:pPr>
      <w:r>
        <w:t>LABOUR, CONSERVATIVES AND REFORM: DIFFERENT DIRECTIONS</w:t>
      </w:r>
    </w:p>
    <w:p>
      <w:r>
        <w:t>Labour has chosen to spend several billion pounds a year removing the two-child limit, arguing that doing so will reduce child poverty. The Conservatives are proposing a restricted benefit-card regime for a subset of the long-term unemployed, estimating savings of roughly £540 million a year. Reform proposes a much wider restructuring, including a citizenship restriction on most welfare and restoration of the two-child limit, and estimates savings of around £50 billion a year by 2030.</w:t>
      </w:r>
    </w:p>
    <w:p>
      <w:r>
        <w:t>Those figures should not be mistaken for directly comparable audited outcomes. The £407 billion figure is an OBR forecast of total welfare spending; the £540 million figure is the Conservatives' estimate for one new measure; and the £50 billion figure is Reform's estimate for a much broader package.</w:t>
      </w:r>
    </w:p>
    <w:p>
      <w:r>
        <w:t>But they do show the scale of the choices now being argued over: who should qualify for welfare, how long support should continue for people capable of working, whether nationality should matter, how support for larger families should operate, and how much taxpayers should ultimately be expected to fund.</w:t>
      </w:r>
    </w:p>
    <w:p>
      <w:pPr>
        <w:jc w:val="center"/>
      </w:pPr>
      <w:r>
        <w:rPr>
          <w:b/>
          <w:sz w:val="36"/>
        </w:rPr>
        <w:t>£406,900,000,000 A YEAR</w:t>
      </w:r>
    </w:p>
    <w:p>
      <w:pPr>
        <w:jc w:val="center"/>
      </w:pPr>
      <w:r>
        <w:t>That is the projected scale of Britain's welfare bill by 2030-31.</w:t>
      </w:r>
    </w:p>
    <w:p>
      <w:pPr>
        <w:pStyle w:val="Heading1"/>
      </w:pPr>
      <w:r>
        <w:t>SOURCES</w:t>
      </w:r>
    </w:p>
    <w:p>
      <w:pPr>
        <w:spacing w:after="60"/>
      </w:pPr>
      <w:r>
        <w:t xml:space="preserve">• </w:t>
      </w:r>
      <w:hyperlink r:id="rId9">
        <w:r>
          <w:rPr>
            <w:color w:val="0563C1"/>
            <w:u w:val="single"/>
          </w:rPr>
          <w:t>Office for Budget Responsibility - Economic and Fiscal Outlook, November 2025 (two-child limit costing)</w:t>
        </w:r>
      </w:hyperlink>
    </w:p>
    <w:p>
      <w:pPr>
        <w:spacing w:after="60"/>
      </w:pPr>
      <w:r>
        <w:t xml:space="preserve">• </w:t>
      </w:r>
      <w:hyperlink r:id="rId10">
        <w:r>
          <w:rPr>
            <w:color w:val="0563C1"/>
            <w:u w:val="single"/>
          </w:rPr>
          <w:t>Office for National Statistics - Births in England and Wales: 2025 (final rates)</w:t>
        </w:r>
      </w:hyperlink>
    </w:p>
    <w:p>
      <w:pPr>
        <w:spacing w:after="60"/>
      </w:pPr>
      <w:r>
        <w:t xml:space="preserve">• </w:t>
      </w:r>
      <w:hyperlink r:id="rId11">
        <w:r>
          <w:rPr>
            <w:color w:val="0563C1"/>
            <w:u w:val="single"/>
          </w:rPr>
          <w:t>DWP - Universal Credit claimants statistics on the two-child limit policy, April 2026</w:t>
        </w:r>
      </w:hyperlink>
    </w:p>
    <w:p>
      <w:pPr>
        <w:spacing w:after="60"/>
      </w:pPr>
      <w:r>
        <w:t xml:space="preserve">• </w:t>
      </w:r>
      <w:hyperlink r:id="rId12">
        <w:r>
          <w:rPr>
            <w:color w:val="0563C1"/>
            <w:u w:val="single"/>
          </w:rPr>
          <w:t>DWP - Universal Credit quarterly statistics to May 2026 (immigration status and ethnicity)</w:t>
        </w:r>
      </w:hyperlink>
    </w:p>
    <w:p>
      <w:pPr>
        <w:spacing w:after="60"/>
      </w:pPr>
      <w:r>
        <w:t xml:space="preserve">• </w:t>
      </w:r>
      <w:hyperlink r:id="rId13">
        <w:r>
          <w:rPr>
            <w:color w:val="0563C1"/>
            <w:u w:val="single"/>
          </w:rPr>
          <w:t>GOV.UK - Two-child limit scrapped (Government's stated child-poverty rationale)</w:t>
        </w:r>
      </w:hyperlink>
    </w:p>
    <w:p>
      <w:pPr>
        <w:spacing w:after="60"/>
      </w:pPr>
      <w:r>
        <w:t xml:space="preserve">• </w:t>
      </w:r>
      <w:hyperlink r:id="rId14">
        <w:r>
          <w:rPr>
            <w:color w:val="0563C1"/>
            <w:u w:val="single"/>
          </w:rPr>
          <w:t>LBC - DWP FOI figures: households with at least one foreign national received £11.9bn UC in 2025</w:t>
        </w:r>
      </w:hyperlink>
    </w:p>
    <w:p>
      <w:pPr>
        <w:spacing w:after="60"/>
      </w:pPr>
      <w:r>
        <w:t xml:space="preserve">• </w:t>
      </w:r>
      <w:hyperlink r:id="rId15">
        <w:r>
          <w:rPr>
            <w:color w:val="0563C1"/>
            <w:u w:val="single"/>
          </w:rPr>
          <w:t>Reform UK - Making Welfare Work / welfare proposals</w:t>
        </w:r>
      </w:hyperlink>
    </w:p>
    <w:p>
      <w:pPr>
        <w:spacing w:after="60"/>
      </w:pPr>
      <w:r>
        <w:t xml:space="preserve">• </w:t>
      </w:r>
      <w:hyperlink r:id="rId16">
        <w:r>
          <w:rPr>
            <w:color w:val="0563C1"/>
            <w:u w:val="single"/>
          </w:rPr>
          <w:t>Conservative Party - current policy programme</w:t>
        </w:r>
      </w:hyperlink>
    </w:p>
    <w:p>
      <w:r>
        <w:rPr>
          <w:b/>
        </w:rPr>
        <w:t xml:space="preserve">Note: </w:t>
      </w:r>
      <w:r>
        <w:t>Party savings figures are proposals/estimates, not guaranteed outcomes. The £11.9bn foreign-national-household figure was obtained from DWP through Freedom of Information and reported in September 2026; it refers to households containing at least one foreign national, not exclusively to payments made to foreign nationals.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br.uk/efo/economic-and-fiscal-outlook-november-2025/" TargetMode="External"/><Relationship Id="rId10" Type="http://schemas.openxmlformats.org/officeDocument/2006/relationships/hyperlink" Target="https://www.ons.gov.uk/peoplepopulationandcommunity/birthsdeathsandmarriages/livebirths/bulletins/birthsummarytablesenglandandwales/2025finalrates" TargetMode="External"/><Relationship Id="rId11" Type="http://schemas.openxmlformats.org/officeDocument/2006/relationships/hyperlink" Target="https://www.gov.uk/government/statistics/universal-credit-claimants-statistics-on-the-two-child-limit-policy-april-2026/universal-credit-claimants-statistics-on-the-two-child-limit-policy-april-2026" TargetMode="External"/><Relationship Id="rId12" Type="http://schemas.openxmlformats.org/officeDocument/2006/relationships/hyperlink" Target="https://www.gov.uk/government/statistics/universal-credit-quarterly-statistics-29-april-2013-to-14-may-2026/universal-credit-quarterly-statistics-29-april-2013-to-14-may-2026" TargetMode="External"/><Relationship Id="rId13" Type="http://schemas.openxmlformats.org/officeDocument/2006/relationships/hyperlink" Target="https://www.gov.uk/government/news/two-child-limit-scrapped-as-historic-bill-to-lift-450000-children-out-of-poverty-becomes-law" TargetMode="External"/><Relationship Id="rId14" Type="http://schemas.openxmlformats.org/officeDocument/2006/relationships/hyperlink" Target="https://www.lbc.co.uk/article/households-migrants-universal-credit-5Hjdhhr_2/" TargetMode="External"/><Relationship Id="rId15" Type="http://schemas.openxmlformats.org/officeDocument/2006/relationships/hyperlink" Target="https://www.reformparty.uk/" TargetMode="External"/><Relationship Id="rId16" Type="http://schemas.openxmlformats.org/officeDocument/2006/relationships/hyperlink" Target="https://www.conservativ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