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Psych 390</w:t>
      </w:r>
    </w:p>
    <w:p>
      <w:pPr>
        <w:pStyle w:val="Author"/>
      </w:pPr>
      <w:r>
        <w:t xml:space="preserve">Britt Anderson</w:t>
      </w:r>
    </w:p>
    <w:bookmarkStart w:id="21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To learn how to approach the computer as a tool for facilitating research skills.</w:t>
      </w:r>
    </w:p>
    <w:bookmarkStart w:id="20" w:name="skills-to-support"/>
    <w:p>
      <w:pPr>
        <w:pStyle w:val="Heading2"/>
      </w:pPr>
      <w:r>
        <w:t xml:space="preserve">Skills to support</w:t>
      </w:r>
    </w:p>
    <w:p>
      <w:pPr>
        <w:pStyle w:val="Compact"/>
        <w:numPr>
          <w:ilvl w:val="0"/>
          <w:numId w:val="1001"/>
        </w:numPr>
      </w:pPr>
      <w:r>
        <w:t xml:space="preserve">Finding, collecting, commentating, and integrating relevant research literature.</w:t>
      </w:r>
    </w:p>
    <w:p>
      <w:pPr>
        <w:pStyle w:val="Compact"/>
        <w:numPr>
          <w:ilvl w:val="0"/>
          <w:numId w:val="1001"/>
        </w:numPr>
      </w:pPr>
      <w:r>
        <w:t xml:space="preserve">Sharing and tracking data, manuscripts, analyses, results, and a finished poster or manuscript</w:t>
      </w:r>
    </w:p>
    <w:p>
      <w:pPr>
        <w:pStyle w:val="Compact"/>
        <w:numPr>
          <w:ilvl w:val="0"/>
          <w:numId w:val="1001"/>
        </w:numPr>
      </w:pPr>
      <w:r>
        <w:t xml:space="preserve">In support of the above how do you find, install, and maintain software?</w:t>
      </w:r>
    </w:p>
    <w:p>
      <w:pPr>
        <w:pStyle w:val="Compact"/>
        <w:numPr>
          <w:ilvl w:val="0"/>
          <w:numId w:val="1001"/>
        </w:numPr>
      </w:pPr>
      <w:r>
        <w:t xml:space="preserve">Large data handling</w:t>
      </w:r>
    </w:p>
    <w:p>
      <w:pPr>
        <w:pStyle w:val="Compact"/>
        <w:numPr>
          <w:ilvl w:val="0"/>
          <w:numId w:val="1001"/>
        </w:numPr>
      </w:pPr>
      <w:r>
        <w:t xml:space="preserve">Writing up your research</w:t>
      </w:r>
    </w:p>
    <w:bookmarkEnd w:id="20"/>
    <w:bookmarkEnd w:id="21"/>
    <w:bookmarkStart w:id="23" w:name="course-timeplace"/>
    <w:p>
      <w:pPr>
        <w:pStyle w:val="Heading1"/>
      </w:pPr>
      <w:r>
        <w:t xml:space="preserve">Course Time/Place</w:t>
      </w:r>
    </w:p>
    <w:p>
      <w:pPr>
        <w:pStyle w:val="FirstParagraph"/>
      </w:pPr>
      <w:r>
        <w:t xml:space="preserve">PSYCH 390 Thursday 14:30 — 17:30</w:t>
      </w:r>
      <w:r>
        <w:t xml:space="preserve"> </w:t>
      </w:r>
      <w:hyperlink r:id="rId22">
        <w:r>
          <w:rPr>
            <w:rStyle w:val="Hyperlink"/>
          </w:rPr>
          <w:t xml:space="preserve">PHY</w:t>
        </w:r>
      </w:hyperlink>
      <w:r>
        <w:t xml:space="preserve"> </w:t>
      </w:r>
      <w:r>
        <w:t xml:space="preserve">313</w:t>
      </w:r>
    </w:p>
    <w:bookmarkEnd w:id="23"/>
    <w:bookmarkStart w:id="25" w:name="instructor"/>
    <w:p>
      <w:pPr>
        <w:pStyle w:val="Heading1"/>
      </w:pPr>
      <w:r>
        <w:t xml:space="preserve">Instructor</w:t>
      </w:r>
    </w:p>
    <w:p>
      <w:pPr>
        <w:pStyle w:val="FirstParagraph"/>
      </w:pPr>
      <w:r>
        <w:t xml:space="preserve">Britt Anderson, PhD &amp; MD</w:t>
      </w:r>
    </w:p>
    <w:p>
      <w:pPr>
        <w:pStyle w:val="BodyText"/>
      </w:pPr>
      <w:r>
        <w:rPr>
          <w:b/>
          <w:bCs/>
        </w:rPr>
        <w:t xml:space="preserve">Office:</w:t>
      </w:r>
      <w:r>
        <w:t xml:space="preserve"> </w:t>
      </w:r>
      <w:r>
        <w:t xml:space="preserve">PAS 4039</w:t>
      </w:r>
      <w:r>
        <w:t xml:space="preserve"> </w:t>
      </w:r>
      <w:r>
        <w:rPr>
          <w:b/>
          <w:bCs/>
        </w:rP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britt@uwaterloo.ca</w:t>
        </w:r>
      </w:hyperlink>
      <w:r>
        <w:t xml:space="preserve"> </w:t>
      </w:r>
      <w:r>
        <w:rPr>
          <w:b/>
          <w:bCs/>
        </w:rPr>
        <w:t xml:space="preserve">Office Hours:</w:t>
      </w:r>
      <w:r>
        <w:t xml:space="preserve"> </w:t>
      </w:r>
      <w:r>
        <w:t xml:space="preserve">by appointment</w:t>
      </w:r>
    </w:p>
    <w:bookmarkEnd w:id="25"/>
    <w:bookmarkStart w:id="41" w:name="boilerplate"/>
    <w:p>
      <w:pPr>
        <w:pStyle w:val="Heading1"/>
      </w:pPr>
      <w:r>
        <w:t xml:space="preserve">Boilerplate</w:t>
      </w:r>
    </w:p>
    <w:bookmarkStart w:id="27" w:name="academic-integrity"/>
    <w:p>
      <w:pPr>
        <w:pStyle w:val="Heading2"/>
      </w:pPr>
      <w:r>
        <w:rPr>
          <w:b/>
          <w:bCs/>
        </w:rPr>
        <w:t xml:space="preserve">Academic integrity</w:t>
      </w:r>
      <w:r>
        <w:t xml:space="preserve">:</w:t>
      </w:r>
    </w:p>
    <w:p>
      <w:pPr>
        <w:pStyle w:val="FirstParagraph"/>
      </w:pPr>
      <w:r>
        <w:t xml:space="preserve">In order to maintain a culture</w:t>
      </w:r>
      <w:r>
        <w:t xml:space="preserve"> </w:t>
      </w:r>
      <w:r>
        <w:t xml:space="preserve">of academic integrity, members of the University of Waterloo community</w:t>
      </w:r>
      <w:r>
        <w:t xml:space="preserve"> </w:t>
      </w:r>
      <w:r>
        <w:t xml:space="preserve">are expected to promote honesty, trust, fairness, respect and</w:t>
      </w:r>
      <w:r>
        <w:t xml:space="preserve"> </w:t>
      </w:r>
      <w:r>
        <w:t xml:space="preserve">responsibility. [Check</w:t>
      </w:r>
      <w:r>
        <w:t xml:space="preserve"> </w:t>
      </w:r>
      <w:hyperlink r:id="rId26">
        <w:r>
          <w:rPr>
            <w:rStyle w:val="Hyperlink"/>
          </w:rPr>
          <w:t xml:space="preserve">the Office of Academic Integrity</w:t>
        </w:r>
      </w:hyperlink>
      <w:r>
        <w:t xml:space="preserve"> </w:t>
      </w:r>
      <w:r>
        <w:t xml:space="preserve">for more information.</w:t>
      </w:r>
    </w:p>
    <w:bookmarkEnd w:id="27"/>
    <w:bookmarkStart w:id="29" w:name="grievance"/>
    <w:p>
      <w:pPr>
        <w:pStyle w:val="Heading2"/>
      </w:pPr>
      <w:r>
        <w:rPr>
          <w:b/>
          <w:bCs/>
        </w:rPr>
        <w:t xml:space="preserve">Grievance:</w:t>
      </w:r>
    </w:p>
    <w:p>
      <w:pPr>
        <w:pStyle w:val="FirstParagraph"/>
      </w:pPr>
      <w:r>
        <w:t xml:space="preserve">A student who believes that a decision</w:t>
      </w:r>
      <w:r>
        <w:t xml:space="preserve"> </w:t>
      </w:r>
      <w:r>
        <w:t xml:space="preserve">affecting some aspect of their university life has been unfair or</w:t>
      </w:r>
      <w:r>
        <w:t xml:space="preserve"> </w:t>
      </w:r>
      <w:r>
        <w:t xml:space="preserve">unreasonable may have grounds for initiating a grievance. Read</w:t>
      </w:r>
      <w:r>
        <w:t xml:space="preserve"> </w:t>
      </w:r>
      <w:hyperlink r:id="rId28">
        <w:r>
          <w:rPr>
            <w:rStyle w:val="Hyperlink"/>
          </w:rPr>
          <w:t xml:space="preserve">Policy 70, Student Petitions and Grievances, Section 4</w:t>
        </w:r>
      </w:hyperlink>
      <w:r>
        <w:t xml:space="preserve">. When in doubt, please be certain to contact the department’s administrative assistant who will provide further assistance.</w:t>
      </w:r>
    </w:p>
    <w:bookmarkEnd w:id="29"/>
    <w:bookmarkStart w:id="32" w:name="discipline"/>
    <w:p>
      <w:pPr>
        <w:pStyle w:val="Heading2"/>
      </w:pPr>
      <w:r>
        <w:rPr>
          <w:b/>
          <w:bCs/>
        </w:rPr>
        <w:t xml:space="preserve">Discipline:</w:t>
      </w:r>
    </w:p>
    <w:p>
      <w:pPr>
        <w:pStyle w:val="FirstParagraph"/>
      </w:pPr>
      <w:r>
        <w:t xml:space="preserve">A student is expected to know what</w:t>
      </w:r>
      <w:r>
        <w:t xml:space="preserve"> </w:t>
      </w:r>
      <w:r>
        <w:t xml:space="preserve">constitutes academic integrity to avoid committing an academic offence,</w:t>
      </w:r>
      <w:r>
        <w:t xml:space="preserve"> </w:t>
      </w:r>
      <w:r>
        <w:t xml:space="preserve">and to take responsibility for their actions. [Check</w:t>
      </w:r>
      <w:r>
        <w:t xml:space="preserve"> </w:t>
      </w:r>
      <w:hyperlink r:id="rId26">
        <w:r>
          <w:rPr>
            <w:rStyle w:val="Hyperlink"/>
          </w:rPr>
          <w:t xml:space="preserve">the Office of Academic Integrity</w:t>
        </w:r>
      </w:hyperlink>
      <w:r>
        <w:t xml:space="preserve"> </w:t>
      </w:r>
      <w:r>
        <w:t xml:space="preserve">for more information.] A student who is unsure whether an action</w:t>
      </w:r>
      <w:r>
        <w:t xml:space="preserve"> </w:t>
      </w:r>
      <w:r>
        <w:t xml:space="preserve">constitutes an offence, or who needs help in learning how to avoid</w:t>
      </w:r>
      <w:r>
        <w:t xml:space="preserve"> </w:t>
      </w:r>
      <w:r>
        <w:t xml:space="preserve">offences (e.g., plagiarism, cheating) or about</w:t>
      </w:r>
      <w:r>
        <w:t xml:space="preserve"> </w:t>
      </w:r>
      <w:r>
        <w:t xml:space="preserve">“rules”</w:t>
      </w:r>
      <w:r>
        <w:t xml:space="preserve"> </w:t>
      </w:r>
      <w:r>
        <w:t xml:space="preserve">for group</w:t>
      </w:r>
      <w:r>
        <w:t xml:space="preserve"> </w:t>
      </w:r>
      <w:r>
        <w:t xml:space="preserve">work/collaboration should seek guidance from the course instructor,</w:t>
      </w:r>
      <w:r>
        <w:t xml:space="preserve"> </w:t>
      </w:r>
      <w:r>
        <w:t xml:space="preserve">academic advisor, or the undergraduate associate dean. For information</w:t>
      </w:r>
      <w:r>
        <w:t xml:space="preserve"> </w:t>
      </w:r>
      <w:r>
        <w:t xml:space="preserve">on categories of offences and types of penalties, students should refer</w:t>
      </w:r>
      <w:r>
        <w:t xml:space="preserve"> </w:t>
      </w:r>
      <w:r>
        <w:t xml:space="preserve">to</w:t>
      </w:r>
      <w:r>
        <w:t xml:space="preserve"> </w:t>
      </w:r>
      <w:hyperlink r:id="rId30">
        <w:r>
          <w:rPr>
            <w:rStyle w:val="Hyperlink"/>
          </w:rPr>
          <w:t xml:space="preserve">Policy 71, Student Discipline</w:t>
        </w:r>
      </w:hyperlink>
      <w:r>
        <w:t xml:space="preserve">. For typical penalties, check</w:t>
      </w:r>
      <w:r>
        <w:t xml:space="preserve"> </w:t>
      </w:r>
      <w:hyperlink r:id="rId31">
        <w:r>
          <w:rPr>
            <w:rStyle w:val="Hyperlink"/>
          </w:rPr>
          <w:t xml:space="preserve">Guidelines for the Assessment of Penalties</w:t>
        </w:r>
      </w:hyperlink>
      <w:r>
        <w:t xml:space="preserve">.</w:t>
      </w:r>
    </w:p>
    <w:bookmarkEnd w:id="32"/>
    <w:bookmarkStart w:id="34" w:name="appeals"/>
    <w:p>
      <w:pPr>
        <w:pStyle w:val="Heading2"/>
      </w:pPr>
      <w:r>
        <w:rPr>
          <w:b/>
          <w:bCs/>
        </w:rPr>
        <w:t xml:space="preserve">Appeals:</w:t>
      </w:r>
    </w:p>
    <w:p>
      <w:pPr>
        <w:pStyle w:val="FirstParagraph"/>
      </w:pPr>
      <w:r>
        <w:t xml:space="preserve">A decision made or penalty imposed under</w:t>
      </w:r>
      <w:r>
        <w:t xml:space="preserve"> </w:t>
      </w:r>
      <w:hyperlink r:id="rId28">
        <w:r>
          <w:rPr>
            <w:rStyle w:val="Hyperlink"/>
          </w:rPr>
          <w:t xml:space="preserve">Policy 70, Student Petitions and Grievances</w:t>
        </w:r>
      </w:hyperlink>
      <w:r>
        <w:t xml:space="preserve"> </w:t>
      </w:r>
      <w:r>
        <w:t xml:space="preserve">(other than a petition) or</w:t>
      </w:r>
      <w:r>
        <w:t xml:space="preserve"> </w:t>
      </w:r>
      <w:hyperlink r:id="rId30">
        <w:r>
          <w:rPr>
            <w:rStyle w:val="Hyperlink"/>
          </w:rPr>
          <w:t xml:space="preserve">Policy 71, Student Discipline</w:t>
        </w:r>
      </w:hyperlink>
      <w:r>
        <w:t xml:space="preserve"> </w:t>
      </w:r>
      <w:r>
        <w:t xml:space="preserve">may be appealed if there is a ground. A student who believes they have a ground for an appeal should refer to</w:t>
      </w:r>
      <w:r>
        <w:t xml:space="preserve"> </w:t>
      </w:r>
      <w:hyperlink r:id="rId33">
        <w:r>
          <w:rPr>
            <w:rStyle w:val="Hyperlink"/>
          </w:rPr>
          <w:t xml:space="preserve">Policy 72, Student Appeals</w:t>
        </w:r>
      </w:hyperlink>
      <w:r>
        <w:t xml:space="preserve">.</w:t>
      </w:r>
    </w:p>
    <w:bookmarkEnd w:id="34"/>
    <w:bookmarkStart w:id="40" w:name="note-for-students-with-disabilities"/>
    <w:p>
      <w:pPr>
        <w:pStyle w:val="Heading2"/>
      </w:pPr>
      <w:r>
        <w:rPr>
          <w:b/>
          <w:bCs/>
        </w:rPr>
        <w:t xml:space="preserve">Note for students with disabilities:</w:t>
      </w:r>
    </w:p>
    <w:p>
      <w:pPr>
        <w:pStyle w:val="FirstParagraph"/>
      </w:pPr>
      <w:hyperlink r:id="rId35">
        <w:r>
          <w:rPr>
            <w:rStyle w:val="Hyperlink"/>
          </w:rPr>
          <w:t xml:space="preserve">AccessAbility Services</w:t>
        </w:r>
      </w:hyperlink>
      <w:r>
        <w:t xml:space="preserve">,</w:t>
      </w:r>
      <w:r>
        <w:t xml:space="preserve"> </w:t>
      </w:r>
      <w:r>
        <w:t xml:space="preserve">located in Needles Hall, Room 1401, collaborates with all academic</w:t>
      </w:r>
      <w:r>
        <w:t xml:space="preserve"> </w:t>
      </w:r>
      <w:r>
        <w:t xml:space="preserve">departments to arrange appropriate accommodations for students with</w:t>
      </w:r>
      <w:r>
        <w:t xml:space="preserve"> </w:t>
      </w:r>
      <w:r>
        <w:t xml:space="preserve">disabilities without compromising the academic integrity of the</w:t>
      </w:r>
      <w:r>
        <w:t xml:space="preserve"> </w:t>
      </w:r>
      <w:r>
        <w:t xml:space="preserve">curriculum. If you require academic accommodations to lessen the impact</w:t>
      </w:r>
      <w:r>
        <w:t xml:space="preserve"> </w:t>
      </w:r>
      <w:r>
        <w:t xml:space="preserve">of your disability, please register with AccessAbility Services at the</w:t>
      </w:r>
      <w:r>
        <w:t xml:space="preserve"> </w:t>
      </w:r>
      <w:r>
        <w:t xml:space="preserve">beginning of each academic term.</w:t>
      </w:r>
    </w:p>
    <w:p>
      <w:pPr>
        <w:pStyle w:val="BodyText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polar"/>
          <w:p>
            <w:pPr>
              <w:pStyle w:val="Compact"/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outline_files/figure-docx/fig-polar-output-1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39"/>
        </w:tc>
      </w:tr>
    </w:tbl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hyperlink" Id="rId22" Target="https://maps.app.goo.gl/zp7p9FnLQX2vpSfx6" TargetMode="External" /><Relationship Type="http://schemas.openxmlformats.org/officeDocument/2006/relationships/hyperlink" Id="rId26" Target="https://uwaterloo.ca/academic-integrity/" TargetMode="External" /><Relationship Type="http://schemas.openxmlformats.org/officeDocument/2006/relationships/hyperlink" Id="rId35" Target="https://uwaterloo.ca/accessability-services/" TargetMode="External" /><Relationship Type="http://schemas.openxmlformats.org/officeDocument/2006/relationships/hyperlink" Id="rId31" Target="https://uwaterloo.ca/secretariat/guidelines/guidelines-assessment-penalties" TargetMode="External" /><Relationship Type="http://schemas.openxmlformats.org/officeDocument/2006/relationships/hyperlink" Id="rId30" Target="https://uwaterloo.ca/secretariat/node/72" TargetMode="External" /><Relationship Type="http://schemas.openxmlformats.org/officeDocument/2006/relationships/hyperlink" Id="rId28" Target="https://uwaterloo.ca/secretariat/node/75" TargetMode="External" /><Relationship Type="http://schemas.openxmlformats.org/officeDocument/2006/relationships/hyperlink" Id="rId33" Target="https://uwaterloo.ca/secretariat/policies-procedures-guidelines/policy-72" TargetMode="External" /><Relationship Type="http://schemas.openxmlformats.org/officeDocument/2006/relationships/hyperlink" Id="rId24" Target="mailto:britt@uwaterloo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maps.app.goo.gl/zp7p9FnLQX2vpSfx6" TargetMode="External" /><Relationship Type="http://schemas.openxmlformats.org/officeDocument/2006/relationships/hyperlink" Id="rId26" Target="https://uwaterloo.ca/academic-integrity/" TargetMode="External" /><Relationship Type="http://schemas.openxmlformats.org/officeDocument/2006/relationships/hyperlink" Id="rId35" Target="https://uwaterloo.ca/accessability-services/" TargetMode="External" /><Relationship Type="http://schemas.openxmlformats.org/officeDocument/2006/relationships/hyperlink" Id="rId31" Target="https://uwaterloo.ca/secretariat/guidelines/guidelines-assessment-penalties" TargetMode="External" /><Relationship Type="http://schemas.openxmlformats.org/officeDocument/2006/relationships/hyperlink" Id="rId30" Target="https://uwaterloo.ca/secretariat/node/72" TargetMode="External" /><Relationship Type="http://schemas.openxmlformats.org/officeDocument/2006/relationships/hyperlink" Id="rId28" Target="https://uwaterloo.ca/secretariat/node/75" TargetMode="External" /><Relationship Type="http://schemas.openxmlformats.org/officeDocument/2006/relationships/hyperlink" Id="rId33" Target="https://uwaterloo.ca/secretariat/policies-procedures-guidelines/policy-72" TargetMode="External" /><Relationship Type="http://schemas.openxmlformats.org/officeDocument/2006/relationships/hyperlink" Id="rId24" Target="mailto:britt@uwaterloo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 390</dc:title>
  <dc:creator>Britt Anderson</dc:creator>
  <cp:keywords/>
  <dcterms:created xsi:type="dcterms:W3CDTF">2024-11-21T20:00:13Z</dcterms:created>
  <dcterms:modified xsi:type="dcterms:W3CDTF">2024-11-21T20:00:13Z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python3</vt:lpwstr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