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roduct_decisions.md"/>
    <w:p>
      <w:pPr>
        <w:pStyle w:val="Heading1"/>
      </w:pPr>
      <w:r>
        <w:t xml:space="preserve">PRODUCT_DECISIONS.md</w:t>
      </w:r>
    </w:p>
    <w:bookmarkStart w:id="21" w:name="helix-ai-product-decisions"/>
    <w:p>
      <w:pPr>
        <w:pStyle w:val="Heading2"/>
      </w:pPr>
      <w:r>
        <w:t xml:space="preserve">Helix AI Product Decisions</w:t>
      </w:r>
    </w:p>
    <w:bookmarkStart w:id="20" w:name="product-definition"/>
    <w:p>
      <w:pPr>
        <w:pStyle w:val="Heading3"/>
      </w:pPr>
      <w:r>
        <w:t xml:space="preserve">Product Definition</w:t>
      </w:r>
    </w:p>
    <w:p>
      <w:pPr>
        <w:pStyle w:val="FirstParagraph"/>
      </w:pPr>
      <w:r>
        <w:t xml:space="preserve">Helix AI is a GTM Context Engine.</w:t>
      </w:r>
    </w:p>
    <w:p>
      <w:pPr>
        <w:pStyle w:val="BodyText"/>
      </w:pPr>
      <w:r>
        <w:t xml:space="preserve">Helix is not:</w:t>
      </w:r>
    </w:p>
    <w:p>
      <w:pPr>
        <w:pStyle w:val="Compact"/>
        <w:numPr>
          <w:ilvl w:val="0"/>
          <w:numId w:val="1001"/>
        </w:numPr>
      </w:pPr>
      <w:r>
        <w:t xml:space="preserve">A dashboard</w:t>
      </w:r>
    </w:p>
    <w:p>
      <w:pPr>
        <w:pStyle w:val="Compact"/>
        <w:numPr>
          <w:ilvl w:val="0"/>
          <w:numId w:val="1001"/>
        </w:numPr>
      </w:pPr>
      <w:r>
        <w:t xml:space="preserve">A reporting tool</w:t>
      </w:r>
    </w:p>
    <w:p>
      <w:pPr>
        <w:pStyle w:val="Compact"/>
        <w:numPr>
          <w:ilvl w:val="0"/>
          <w:numId w:val="1001"/>
        </w:numPr>
      </w:pPr>
      <w:r>
        <w:t xml:space="preserve">A CRM</w:t>
      </w:r>
    </w:p>
    <w:p>
      <w:pPr>
        <w:pStyle w:val="Compact"/>
        <w:numPr>
          <w:ilvl w:val="0"/>
          <w:numId w:val="1001"/>
        </w:numPr>
      </w:pPr>
      <w:r>
        <w:t xml:space="preserve">A marketing automation platform</w:t>
      </w:r>
    </w:p>
    <w:p>
      <w:pPr>
        <w:pStyle w:val="Compact"/>
        <w:numPr>
          <w:ilvl w:val="0"/>
          <w:numId w:val="1001"/>
        </w:numPr>
      </w:pPr>
      <w:r>
        <w:t xml:space="preserve">A CDP</w:t>
      </w:r>
    </w:p>
    <w:p>
      <w:pPr>
        <w:pStyle w:val="Compact"/>
        <w:numPr>
          <w:ilvl w:val="0"/>
          <w:numId w:val="1001"/>
        </w:numPr>
      </w:pPr>
      <w:r>
        <w:t xml:space="preserve">A data warehouse</w:t>
      </w:r>
    </w:p>
    <w:p>
      <w:pPr>
        <w:pStyle w:val="Compact"/>
        <w:numPr>
          <w:ilvl w:val="0"/>
          <w:numId w:val="1001"/>
        </w:numPr>
      </w:pPr>
      <w:r>
        <w:t xml:space="preserve">A deck parser</w:t>
      </w:r>
    </w:p>
    <w:p>
      <w:pPr>
        <w:pStyle w:val="Compact"/>
        <w:numPr>
          <w:ilvl w:val="0"/>
          <w:numId w:val="1001"/>
        </w:numPr>
      </w:pPr>
      <w:r>
        <w:t xml:space="preserve">A summarization tool</w:t>
      </w:r>
    </w:p>
    <w:p>
      <w:pPr>
        <w:pStyle w:val="FirstParagraph"/>
      </w:pPr>
      <w:r>
        <w:t xml:space="preserve">Helix exists to connect GTM planning to GTM activation.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product-insight"/>
    <w:p>
      <w:pPr>
        <w:pStyle w:val="Heading2"/>
      </w:pPr>
      <w:r>
        <w:t xml:space="preserve">Core Product Insight</w:t>
      </w:r>
    </w:p>
    <w:p>
      <w:pPr>
        <w:pStyle w:val="FirstParagraph"/>
      </w:pPr>
      <w:r>
        <w:t xml:space="preserve">Every organization has two separate worlds:</w:t>
      </w:r>
    </w:p>
    <w:p>
      <w:pPr>
        <w:pStyle w:val="Compact"/>
        <w:numPr>
          <w:ilvl w:val="0"/>
          <w:numId w:val="1002"/>
        </w:numPr>
      </w:pPr>
      <w:r>
        <w:t xml:space="preserve">How the organization operates</w:t>
      </w:r>
    </w:p>
    <w:p>
      <w:pPr>
        <w:pStyle w:val="Compact"/>
        <w:numPr>
          <w:ilvl w:val="0"/>
          <w:numId w:val="1002"/>
        </w:numPr>
      </w:pPr>
      <w:r>
        <w:t xml:space="preserve">What the organization is trying to accomplish</w:t>
      </w:r>
    </w:p>
    <w:p>
      <w:pPr>
        <w:pStyle w:val="FirstParagraph"/>
      </w:pPr>
      <w:r>
        <w:t xml:space="preserve">Today, humans manually translate between those worlds.</w:t>
      </w:r>
    </w:p>
    <w:p>
      <w:pPr>
        <w:pStyle w:val="BodyText"/>
      </w:pPr>
      <w:r>
        <w:t xml:space="preserve">Helix automates that translation.</w:t>
      </w:r>
    </w:p>
    <w:p>
      <w:r>
        <w:pict>
          <v:rect style="width:0;height:1.5pt" o:hralign="center" o:hrstd="t" o:hr="t"/>
        </w:pict>
      </w:r>
    </w:p>
    <w:bookmarkEnd w:id="22"/>
    <w:bookmarkStart w:id="24" w:name="discovery-engine-1"/>
    <w:p>
      <w:pPr>
        <w:pStyle w:val="Heading2"/>
      </w:pPr>
      <w:r>
        <w:t xml:space="preserve">Discovery Engine 1</w:t>
      </w:r>
    </w:p>
    <w:bookmarkStart w:id="23" w:name="organizational-context-discovery"/>
    <w:p>
      <w:pPr>
        <w:pStyle w:val="Heading3"/>
      </w:pPr>
      <w:r>
        <w:t xml:space="preserve">Organizational Context Discovery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Learn the customer’s language.</w:t>
      </w:r>
    </w:p>
    <w:p>
      <w:pPr>
        <w:pStyle w:val="BodyText"/>
      </w:pPr>
      <w:r>
        <w:t xml:space="preserve">Helix learns:</w:t>
      </w:r>
    </w:p>
    <w:p>
      <w:pPr>
        <w:pStyle w:val="Compact"/>
        <w:numPr>
          <w:ilvl w:val="0"/>
          <w:numId w:val="1003"/>
        </w:numPr>
      </w:pPr>
      <w:r>
        <w:t xml:space="preserve">Salesforce taxonomies</w:t>
      </w:r>
    </w:p>
    <w:p>
      <w:pPr>
        <w:pStyle w:val="Compact"/>
        <w:numPr>
          <w:ilvl w:val="0"/>
          <w:numId w:val="1003"/>
        </w:numPr>
      </w:pPr>
      <w:r>
        <w:t xml:space="preserve">Marketo structures</w:t>
      </w:r>
    </w:p>
    <w:p>
      <w:pPr>
        <w:pStyle w:val="Compact"/>
        <w:numPr>
          <w:ilvl w:val="0"/>
          <w:numId w:val="1003"/>
        </w:numPr>
      </w:pPr>
      <w:r>
        <w:t xml:space="preserve">HubSpot properties</w:t>
      </w:r>
    </w:p>
    <w:p>
      <w:pPr>
        <w:pStyle w:val="Compact"/>
        <w:numPr>
          <w:ilvl w:val="0"/>
          <w:numId w:val="1003"/>
        </w:numPr>
      </w:pPr>
      <w:r>
        <w:t xml:space="preserve">Outreach structures</w:t>
      </w:r>
    </w:p>
    <w:p>
      <w:pPr>
        <w:pStyle w:val="Compact"/>
        <w:numPr>
          <w:ilvl w:val="0"/>
          <w:numId w:val="1003"/>
        </w:numPr>
      </w:pPr>
      <w:r>
        <w:t xml:space="preserve">LinkedIn audience structures</w:t>
      </w:r>
    </w:p>
    <w:p>
      <w:pPr>
        <w:pStyle w:val="Compact"/>
        <w:numPr>
          <w:ilvl w:val="0"/>
          <w:numId w:val="1003"/>
        </w:numPr>
      </w:pPr>
      <w:r>
        <w:t xml:space="preserve">Naming conventions</w:t>
      </w:r>
    </w:p>
    <w:p>
      <w:pPr>
        <w:pStyle w:val="Compact"/>
        <w:numPr>
          <w:ilvl w:val="0"/>
          <w:numId w:val="1003"/>
        </w:numPr>
      </w:pPr>
      <w:r>
        <w:t xml:space="preserve">Governance models</w:t>
      </w:r>
    </w:p>
    <w:p>
      <w:pPr>
        <w:pStyle w:val="Compact"/>
        <w:numPr>
          <w:ilvl w:val="0"/>
          <w:numId w:val="1003"/>
        </w:numPr>
      </w:pPr>
      <w:r>
        <w:t xml:space="preserve">Activation constraints</w:t>
      </w:r>
    </w:p>
    <w:p>
      <w:pPr>
        <w:pStyle w:val="Compact"/>
        <w:numPr>
          <w:ilvl w:val="0"/>
          <w:numId w:val="1003"/>
        </w:numPr>
      </w:pPr>
      <w:r>
        <w:t xml:space="preserve">Required fields</w:t>
      </w:r>
    </w:p>
    <w:p>
      <w:pPr>
        <w:pStyle w:val="Compact"/>
        <w:numPr>
          <w:ilvl w:val="0"/>
          <w:numId w:val="1003"/>
        </w:numPr>
      </w:pPr>
      <w:r>
        <w:t xml:space="preserve">Picklists</w:t>
      </w:r>
    </w:p>
    <w:p>
      <w:pPr>
        <w:pStyle w:val="Compact"/>
        <w:numPr>
          <w:ilvl w:val="0"/>
          <w:numId w:val="1003"/>
        </w:numPr>
      </w:pPr>
      <w:r>
        <w:t xml:space="preserve">Object relationships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Customer GTM Ontology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discovery-engine-2"/>
    <w:p>
      <w:pPr>
        <w:pStyle w:val="Heading2"/>
      </w:pPr>
      <w:r>
        <w:t xml:space="preserve">Discovery Engine 2</w:t>
      </w:r>
    </w:p>
    <w:bookmarkStart w:id="25" w:name="strategy-context-discovery"/>
    <w:p>
      <w:pPr>
        <w:pStyle w:val="Heading3"/>
      </w:pPr>
      <w:r>
        <w:t xml:space="preserve">Strategy Context Discovery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Learn what the organization is trying to accomplish.</w:t>
      </w:r>
    </w:p>
    <w:p>
      <w:pPr>
        <w:pStyle w:val="BodyText"/>
      </w:pPr>
      <w:r>
        <w:t xml:space="preserve">Helix learns:</w:t>
      </w:r>
    </w:p>
    <w:p>
      <w:pPr>
        <w:pStyle w:val="Compact"/>
        <w:numPr>
          <w:ilvl w:val="0"/>
          <w:numId w:val="1004"/>
        </w:numPr>
      </w:pPr>
      <w:r>
        <w:t xml:space="preserve">Personas</w:t>
      </w:r>
    </w:p>
    <w:p>
      <w:pPr>
        <w:pStyle w:val="Compact"/>
        <w:numPr>
          <w:ilvl w:val="0"/>
          <w:numId w:val="1004"/>
        </w:numPr>
      </w:pPr>
      <w:r>
        <w:t xml:space="preserve">Industries</w:t>
      </w:r>
    </w:p>
    <w:p>
      <w:pPr>
        <w:pStyle w:val="Compact"/>
        <w:numPr>
          <w:ilvl w:val="0"/>
          <w:numId w:val="1004"/>
        </w:numPr>
      </w:pPr>
      <w:r>
        <w:t xml:space="preserve">Segments</w:t>
      </w:r>
    </w:p>
    <w:p>
      <w:pPr>
        <w:pStyle w:val="Compact"/>
        <w:numPr>
          <w:ilvl w:val="0"/>
          <w:numId w:val="1004"/>
        </w:numPr>
      </w:pPr>
      <w:r>
        <w:t xml:space="preserve">Buying committees</w:t>
      </w:r>
    </w:p>
    <w:p>
      <w:pPr>
        <w:pStyle w:val="Compact"/>
        <w:numPr>
          <w:ilvl w:val="0"/>
          <w:numId w:val="1004"/>
        </w:numPr>
      </w:pPr>
      <w:r>
        <w:t xml:space="preserve">Offers</w:t>
      </w:r>
    </w:p>
    <w:p>
      <w:pPr>
        <w:pStyle w:val="Compact"/>
        <w:numPr>
          <w:ilvl w:val="0"/>
          <w:numId w:val="1004"/>
        </w:numPr>
      </w:pPr>
      <w:r>
        <w:t xml:space="preserve">Campaign motions</w:t>
      </w:r>
    </w:p>
    <w:p>
      <w:pPr>
        <w:pStyle w:val="Compact"/>
        <w:numPr>
          <w:ilvl w:val="0"/>
          <w:numId w:val="1004"/>
        </w:numPr>
      </w:pPr>
      <w:r>
        <w:t xml:space="preserve">Channels</w:t>
      </w:r>
    </w:p>
    <w:p>
      <w:pPr>
        <w:pStyle w:val="Compact"/>
        <w:numPr>
          <w:ilvl w:val="0"/>
          <w:numId w:val="1004"/>
        </w:numPr>
      </w:pPr>
      <w:r>
        <w:t xml:space="preserve">Regions</w:t>
      </w:r>
    </w:p>
    <w:p>
      <w:pPr>
        <w:pStyle w:val="Compact"/>
        <w:numPr>
          <w:ilvl w:val="0"/>
          <w:numId w:val="1004"/>
        </w:numPr>
      </w:pPr>
      <w:r>
        <w:t xml:space="preserve">Regulatory drivers</w:t>
      </w:r>
    </w:p>
    <w:p>
      <w:pPr>
        <w:pStyle w:val="Compact"/>
        <w:numPr>
          <w:ilvl w:val="0"/>
          <w:numId w:val="1004"/>
        </w:numPr>
      </w:pPr>
      <w:r>
        <w:t xml:space="preserve">Success metrics</w:t>
      </w:r>
    </w:p>
    <w:p>
      <w:pPr>
        <w:pStyle w:val="Compact"/>
        <w:numPr>
          <w:ilvl w:val="0"/>
          <w:numId w:val="1004"/>
        </w:numPr>
      </w:pPr>
      <w:r>
        <w:t xml:space="preserve">Sales plays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Campaign GTM DNA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elix-core"/>
    <w:p>
      <w:pPr>
        <w:pStyle w:val="Heading2"/>
      </w:pPr>
      <w:r>
        <w:t xml:space="preserve">Helix Core</w:t>
      </w:r>
    </w:p>
    <w:p>
      <w:pPr>
        <w:pStyle w:val="FirstParagraph"/>
      </w:pPr>
      <w:r>
        <w:t xml:space="preserve">Helix combines:</w:t>
      </w:r>
    </w:p>
    <w:p>
      <w:pPr>
        <w:pStyle w:val="BodyText"/>
      </w:pPr>
      <w:r>
        <w:t xml:space="preserve">Customer GTM Ontology</w:t>
      </w:r>
    </w:p>
    <w:p>
      <w:pPr>
        <w:pStyle w:val="FirstParagraph"/>
      </w:pPr>
      <w:r>
        <w:t xml:space="preserve">Campaign GTM DNA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Canonical GTM Model</w:t>
      </w:r>
    </w:p>
    <w:p>
      <w:pPr>
        <w:pStyle w:val="BodyText"/>
      </w:pPr>
      <w:r>
        <w:t xml:space="preserve">The Canonical GTM Model is the translation layer between strategy and execution.</w:t>
      </w:r>
    </w:p>
    <w:p>
      <w:pPr>
        <w:pStyle w:val="BodyText"/>
      </w:pPr>
      <w:r>
        <w:t xml:space="preserve">This is core product IP.</w:t>
      </w:r>
    </w:p>
    <w:p>
      <w:r>
        <w:pict>
          <v:rect style="width:0;height:1.5pt" o:hralign="center" o:hrstd="t" o:hr="t"/>
        </w:pict>
      </w:r>
    </w:p>
    <w:bookmarkEnd w:id="27"/>
    <w:bookmarkStart w:id="28" w:name="activation-philosophy"/>
    <w:p>
      <w:pPr>
        <w:pStyle w:val="Heading2"/>
      </w:pPr>
      <w:r>
        <w:t xml:space="preserve">Activation Philosophy</w:t>
      </w:r>
    </w:p>
    <w:p>
      <w:pPr>
        <w:pStyle w:val="FirstParagraph"/>
      </w:pPr>
      <w:r>
        <w:t xml:space="preserve">Helix does not replace Salesforce.</w:t>
      </w:r>
    </w:p>
    <w:p>
      <w:pPr>
        <w:pStyle w:val="BodyText"/>
      </w:pPr>
      <w:r>
        <w:t xml:space="preserve">Helix does not replace Marketo.</w:t>
      </w:r>
    </w:p>
    <w:p>
      <w:pPr>
        <w:pStyle w:val="BodyText"/>
      </w:pPr>
      <w:r>
        <w:t xml:space="preserve">Helix does not replace HubSpot.</w:t>
      </w:r>
    </w:p>
    <w:p>
      <w:pPr>
        <w:pStyle w:val="BodyText"/>
      </w:pPr>
      <w:r>
        <w:t xml:space="preserve">Helix does not replace Outreach.</w:t>
      </w:r>
    </w:p>
    <w:p>
      <w:pPr>
        <w:pStyle w:val="BodyText"/>
      </w:pPr>
      <w:r>
        <w:t xml:space="preserve">Helix generates deployable execution assets for those systems.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Salesforce:</w:t>
      </w:r>
    </w:p>
    <w:p>
      <w:pPr>
        <w:pStyle w:val="Compact"/>
        <w:numPr>
          <w:ilvl w:val="0"/>
          <w:numId w:val="1006"/>
        </w:numPr>
      </w:pPr>
      <w:r>
        <w:t xml:space="preserve">Campaign hierarchy</w:t>
      </w:r>
    </w:p>
    <w:p>
      <w:pPr>
        <w:pStyle w:val="Compact"/>
        <w:numPr>
          <w:ilvl w:val="0"/>
          <w:numId w:val="1006"/>
        </w:numPr>
      </w:pPr>
      <w:r>
        <w:t xml:space="preserve">Campaign member statuses</w:t>
      </w:r>
    </w:p>
    <w:p>
      <w:pPr>
        <w:pStyle w:val="Compact"/>
        <w:numPr>
          <w:ilvl w:val="0"/>
          <w:numId w:val="1006"/>
        </w:numPr>
      </w:pPr>
      <w:r>
        <w:t xml:space="preserve">Account mappings</w:t>
      </w:r>
    </w:p>
    <w:p>
      <w:pPr>
        <w:pStyle w:val="Compact"/>
        <w:numPr>
          <w:ilvl w:val="0"/>
          <w:numId w:val="1006"/>
        </w:numPr>
      </w:pPr>
      <w:r>
        <w:t xml:space="preserve">Contact mappings</w:t>
      </w:r>
    </w:p>
    <w:p>
      <w:pPr>
        <w:pStyle w:val="FirstParagraph"/>
      </w:pPr>
      <w:r>
        <w:t xml:space="preserve">Marketo:</w:t>
      </w:r>
    </w:p>
    <w:p>
      <w:pPr>
        <w:pStyle w:val="Compact"/>
        <w:numPr>
          <w:ilvl w:val="0"/>
          <w:numId w:val="1007"/>
        </w:numPr>
      </w:pPr>
      <w:r>
        <w:t xml:space="preserve">Programs</w:t>
      </w:r>
    </w:p>
    <w:p>
      <w:pPr>
        <w:pStyle w:val="Compact"/>
        <w:numPr>
          <w:ilvl w:val="0"/>
          <w:numId w:val="1007"/>
        </w:numPr>
      </w:pPr>
      <w:r>
        <w:t xml:space="preserve">Smart Lists</w:t>
      </w:r>
    </w:p>
    <w:p>
      <w:pPr>
        <w:pStyle w:val="Compact"/>
        <w:numPr>
          <w:ilvl w:val="0"/>
          <w:numId w:val="1007"/>
        </w:numPr>
      </w:pPr>
      <w:r>
        <w:t xml:space="preserve">Tokens</w:t>
      </w:r>
    </w:p>
    <w:p>
      <w:pPr>
        <w:pStyle w:val="Compact"/>
        <w:numPr>
          <w:ilvl w:val="0"/>
          <w:numId w:val="1007"/>
        </w:numPr>
      </w:pPr>
      <w:r>
        <w:t xml:space="preserve">Nurture streams</w:t>
      </w:r>
    </w:p>
    <w:p>
      <w:pPr>
        <w:pStyle w:val="FirstParagraph"/>
      </w:pPr>
      <w:r>
        <w:t xml:space="preserve">HubSpot:</w:t>
      </w:r>
    </w:p>
    <w:p>
      <w:pPr>
        <w:pStyle w:val="Compact"/>
        <w:numPr>
          <w:ilvl w:val="0"/>
          <w:numId w:val="1008"/>
        </w:numPr>
      </w:pPr>
      <w:r>
        <w:t xml:space="preserve">Lists</w:t>
      </w:r>
    </w:p>
    <w:p>
      <w:pPr>
        <w:pStyle w:val="Compact"/>
        <w:numPr>
          <w:ilvl w:val="0"/>
          <w:numId w:val="1008"/>
        </w:numPr>
      </w:pPr>
      <w:r>
        <w:t xml:space="preserve">Workflows</w:t>
      </w:r>
    </w:p>
    <w:p>
      <w:pPr>
        <w:pStyle w:val="Compact"/>
        <w:numPr>
          <w:ilvl w:val="0"/>
          <w:numId w:val="1008"/>
        </w:numPr>
      </w:pPr>
      <w:r>
        <w:t xml:space="preserve">Campaigns</w:t>
      </w:r>
    </w:p>
    <w:p>
      <w:pPr>
        <w:pStyle w:val="FirstParagraph"/>
      </w:pPr>
      <w:r>
        <w:t xml:space="preserve">Outreach:</w:t>
      </w:r>
    </w:p>
    <w:p>
      <w:pPr>
        <w:pStyle w:val="Compact"/>
        <w:numPr>
          <w:ilvl w:val="0"/>
          <w:numId w:val="1009"/>
        </w:numPr>
      </w:pPr>
      <w:r>
        <w:t xml:space="preserve">Sequences</w:t>
      </w:r>
    </w:p>
    <w:p>
      <w:pPr>
        <w:pStyle w:val="Compact"/>
        <w:numPr>
          <w:ilvl w:val="0"/>
          <w:numId w:val="1009"/>
        </w:numPr>
      </w:pPr>
      <w:r>
        <w:t xml:space="preserve">Tasks</w:t>
      </w:r>
    </w:p>
    <w:p>
      <w:pPr>
        <w:pStyle w:val="Compact"/>
        <w:numPr>
          <w:ilvl w:val="0"/>
          <w:numId w:val="1009"/>
        </w:numPr>
      </w:pPr>
      <w:r>
        <w:t xml:space="preserve">Routing logic</w:t>
      </w:r>
    </w:p>
    <w:p>
      <w:pPr>
        <w:pStyle w:val="FirstParagraph"/>
      </w:pPr>
      <w:r>
        <w:t xml:space="preserve">LinkedIn:</w:t>
      </w:r>
    </w:p>
    <w:p>
      <w:pPr>
        <w:pStyle w:val="Compact"/>
        <w:numPr>
          <w:ilvl w:val="0"/>
          <w:numId w:val="1010"/>
        </w:numPr>
      </w:pPr>
      <w:r>
        <w:t xml:space="preserve">Matched audiences</w:t>
      </w:r>
    </w:p>
    <w:p>
      <w:pPr>
        <w:pStyle w:val="Compact"/>
        <w:numPr>
          <w:ilvl w:val="0"/>
          <w:numId w:val="1010"/>
        </w:numPr>
      </w:pPr>
      <w:r>
        <w:t xml:space="preserve">Account lists</w:t>
      </w:r>
    </w:p>
    <w:p>
      <w:pPr>
        <w:pStyle w:val="Compact"/>
        <w:numPr>
          <w:ilvl w:val="0"/>
          <w:numId w:val="1010"/>
        </w:numPr>
      </w:pPr>
      <w:r>
        <w:t xml:space="preserve">Persona targeting</w:t>
      </w:r>
    </w:p>
    <w:p>
      <w:r>
        <w:pict>
          <v:rect style="width:0;height:1.5pt" o:hralign="center" o:hrstd="t" o:hr="t"/>
        </w:pict>
      </w:r>
    </w:p>
    <w:bookmarkEnd w:id="28"/>
    <w:bookmarkStart w:id="29" w:name="demo-scope"/>
    <w:p>
      <w:pPr>
        <w:pStyle w:val="Heading2"/>
      </w:pPr>
      <w:r>
        <w:t xml:space="preserve">Demo Scope</w:t>
      </w:r>
    </w:p>
    <w:p>
      <w:pPr>
        <w:pStyle w:val="FirstParagraph"/>
      </w:pPr>
      <w:r>
        <w:t xml:space="preserve">This project is a founder demo.</w:t>
      </w:r>
    </w:p>
    <w:p>
      <w:pPr>
        <w:pStyle w:val="BodyText"/>
      </w:pPr>
      <w:r>
        <w:t xml:space="preserve">Do not build:</w:t>
      </w:r>
    </w:p>
    <w:p>
      <w:pPr>
        <w:pStyle w:val="Compact"/>
        <w:numPr>
          <w:ilvl w:val="0"/>
          <w:numId w:val="1011"/>
        </w:numPr>
      </w:pPr>
      <w:r>
        <w:t xml:space="preserve">Authentication</w:t>
      </w:r>
    </w:p>
    <w:p>
      <w:pPr>
        <w:pStyle w:val="Compact"/>
        <w:numPr>
          <w:ilvl w:val="0"/>
          <w:numId w:val="1011"/>
        </w:numPr>
      </w:pPr>
      <w:r>
        <w:t xml:space="preserve">OAuth</w:t>
      </w:r>
    </w:p>
    <w:p>
      <w:pPr>
        <w:pStyle w:val="Compact"/>
        <w:numPr>
          <w:ilvl w:val="0"/>
          <w:numId w:val="1011"/>
        </w:numPr>
      </w:pPr>
      <w:r>
        <w:t xml:space="preserve">Databases</w:t>
      </w:r>
    </w:p>
    <w:p>
      <w:pPr>
        <w:pStyle w:val="Compact"/>
        <w:numPr>
          <w:ilvl w:val="0"/>
          <w:numId w:val="1011"/>
        </w:numPr>
      </w:pPr>
      <w:r>
        <w:t xml:space="preserve">Production integrations</w:t>
      </w:r>
    </w:p>
    <w:p>
      <w:pPr>
        <w:pStyle w:val="Compact"/>
        <w:numPr>
          <w:ilvl w:val="0"/>
          <w:numId w:val="1011"/>
        </w:numPr>
      </w:pPr>
      <w:r>
        <w:t xml:space="preserve">Production infrastructure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2"/>
        </w:numPr>
      </w:pPr>
      <w:r>
        <w:t xml:space="preserve">Static files</w:t>
      </w:r>
    </w:p>
    <w:p>
      <w:pPr>
        <w:pStyle w:val="Compact"/>
        <w:numPr>
          <w:ilvl w:val="0"/>
          <w:numId w:val="1012"/>
        </w:numPr>
      </w:pPr>
      <w:r>
        <w:t xml:space="preserve">Mock data</w:t>
      </w:r>
    </w:p>
    <w:p>
      <w:pPr>
        <w:pStyle w:val="Compact"/>
        <w:numPr>
          <w:ilvl w:val="0"/>
          <w:numId w:val="1012"/>
        </w:numPr>
      </w:pPr>
      <w:r>
        <w:t xml:space="preserve">Simulated uploads</w:t>
      </w:r>
    </w:p>
    <w:p>
      <w:pPr>
        <w:pStyle w:val="Compact"/>
        <w:numPr>
          <w:ilvl w:val="0"/>
          <w:numId w:val="1012"/>
        </w:numPr>
      </w:pPr>
      <w:r>
        <w:t xml:space="preserve">Simulated deployment</w:t>
      </w:r>
    </w:p>
    <w:p>
      <w:r>
        <w:pict>
          <v:rect style="width:0;height:1.5pt" o:hralign="center" o:hrstd="t" o:hr="t"/>
        </w:pict>
      </w:r>
    </w:p>
    <w:bookmarkEnd w:id="29"/>
    <w:bookmarkStart w:id="30" w:name="user-journey"/>
    <w:p>
      <w:pPr>
        <w:pStyle w:val="Heading2"/>
      </w:pPr>
      <w:r>
        <w:t xml:space="preserve">User Journey</w:t>
      </w:r>
    </w:p>
    <w:p>
      <w:pPr>
        <w:pStyle w:val="FirstParagraph"/>
      </w:pPr>
      <w:r>
        <w:t xml:space="preserve">Step 1:</w:t>
      </w:r>
      <w:r>
        <w:t xml:space="preserve"> </w:t>
      </w:r>
      <w:r>
        <w:t xml:space="preserve">Learn the organization</w:t>
      </w:r>
    </w:p>
    <w:p>
      <w:pPr>
        <w:pStyle w:val="BodyText"/>
      </w:pPr>
      <w:r>
        <w:t xml:space="preserve">Step 2:</w:t>
      </w:r>
      <w:r>
        <w:t xml:space="preserve"> </w:t>
      </w:r>
      <w:r>
        <w:t xml:space="preserve">Learn the strategy</w:t>
      </w:r>
    </w:p>
    <w:p>
      <w:pPr>
        <w:pStyle w:val="BodyText"/>
      </w:pPr>
      <w:r>
        <w:t xml:space="preserve">Step 3:</w:t>
      </w:r>
      <w:r>
        <w:t xml:space="preserve"> </w:t>
      </w:r>
      <w:r>
        <w:t xml:space="preserve">Create mappings</w:t>
      </w:r>
    </w:p>
    <w:p>
      <w:pPr>
        <w:pStyle w:val="BodyText"/>
      </w:pPr>
      <w:r>
        <w:t xml:space="preserve">Step 4:</w:t>
      </w:r>
      <w:r>
        <w:t xml:space="preserve"> </w:t>
      </w:r>
      <w:r>
        <w:t xml:space="preserve">Generate deployable assets</w:t>
      </w:r>
    </w:p>
    <w:p>
      <w:pPr>
        <w:pStyle w:val="BodyText"/>
      </w:pPr>
      <w:r>
        <w:t xml:space="preserve">Step 5:</w:t>
      </w:r>
      <w:r>
        <w:t xml:space="preserve"> </w:t>
      </w:r>
      <w:r>
        <w:t xml:space="preserve">Deploy through activation spokes</w:t>
      </w:r>
    </w:p>
    <w:p>
      <w:r>
        <w:pict>
          <v:rect style="width:0;height:1.5pt" o:hralign="center" o:hrstd="t" o:hr="t"/>
        </w:pict>
      </w:r>
    </w:p>
    <w:bookmarkEnd w:id="30"/>
    <w:bookmarkStart w:id="31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A user should understand Helix in less than five minutes.</w:t>
      </w:r>
    </w:p>
    <w:p>
      <w:pPr>
        <w:pStyle w:val="BodyText"/>
      </w:pPr>
      <w:r>
        <w:t xml:space="preserve">The user should leave with this understanding:</w:t>
      </w:r>
    </w:p>
    <w:p>
      <w:pPr>
        <w:pStyle w:val="BodyText"/>
      </w:pPr>
      <w:r>
        <w:t xml:space="preserve">“Helix learned how our company operates, learned what our strategy requires, connected the two, and generated execution-ready assets.”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2026-06-12T21:08:36Z</dcterms:created>
  <dcterms:modified xsi:type="dcterms:W3CDTF">2026-06-12T21:08:36Z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