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56DB"/>
        </w:rPr>
        <w:t>SCOPE OF WORK &amp; PROPOSAL</w:t>
      </w:r>
    </w:p>
    <w:p>
      <w:r>
        <w:t>Webb Advisory Group → Meridian Partners</w:t>
      </w:r>
    </w:p>
    <w:p>
      <w:r>
        <w:t>Operational Due Diligence Assessment: Hartfield Precision Components</w:t>
      </w:r>
    </w:p>
    <w:p>
      <w:r>
        <w:t>Prepared by: Marcus Webb | Date: June 3, 2026 | Valid through: June 30, 2026</w:t>
      </w:r>
    </w:p>
    <w:p/>
    <w:p>
      <w:pPr>
        <w:pStyle w:val="Heading2"/>
      </w:pPr>
      <w:r>
        <w:t>ENGAGEMENT OVERVIEW</w:t>
      </w:r>
    </w:p>
    <w:p>
      <w:r>
        <w:t>Meridian Partners ("Client") has requested an operational due diligence assessment of Hartfield Precision Components ("Target") in connection with Meridian's proposed acquisition of a controlling interest at an estimated enterprise value of $62 million.</w:t>
      </w:r>
    </w:p>
    <w:p>
      <w:r>
        <w:t>Webb Advisory Group ("Webb Advisory") proposes to conduct its standard management assessment and organizational health review as described below.</w:t>
      </w:r>
    </w:p>
    <w:p>
      <w:pPr>
        <w:pStyle w:val="Heading2"/>
      </w:pPr>
      <w:r>
        <w:t>SCOPE OF WORK</w:t>
      </w:r>
    </w:p>
    <w:p>
      <w:pPr>
        <w:pStyle w:val="Heading2"/>
      </w:pPr>
      <w:r>
        <w:t>Phase 1 — Document Review (Week 1–2)</w:t>
      </w:r>
    </w:p>
    <w:p>
      <w:pPr>
        <w:pStyle w:val="ListBullet"/>
      </w:pPr>
      <w:r>
        <w:t>Review of organizational charts, reporting structures, job descriptions for senior roles</w:t>
      </w:r>
    </w:p>
    <w:p>
      <w:pPr>
        <w:pStyle w:val="ListBullet"/>
      </w:pPr>
      <w:r>
        <w:t>Review of board meeting minutes (past 24 months)</w:t>
      </w:r>
    </w:p>
    <w:p>
      <w:pPr>
        <w:pStyle w:val="ListBullet"/>
      </w:pPr>
      <w:r>
        <w:t>Analysis of management team compensation and incentive structure</w:t>
      </w:r>
    </w:p>
    <w:p>
      <w:pPr>
        <w:pStyle w:val="ListBullet"/>
      </w:pPr>
      <w:r>
        <w:t>Review of any prior performance assessments or 360-degree feedback</w:t>
      </w:r>
    </w:p>
    <w:p>
      <w:pPr>
        <w:pStyle w:val="ListBullet"/>
      </w:pPr>
      <w:r>
        <w:t>Analysis of turnover data and exit interview themes where available</w:t>
      </w:r>
    </w:p>
    <w:p>
      <w:pPr>
        <w:pStyle w:val="Heading2"/>
      </w:pPr>
      <w:r>
        <w:t>Phase 2 — Management Interviews (Week 2–4)</w:t>
      </w:r>
    </w:p>
    <w:p>
      <w:r>
        <w:t>Structured behavioral and situational interviews with:</w:t>
      </w:r>
    </w:p>
    <w:p>
      <w:pPr>
        <w:pStyle w:val="ListBullet"/>
      </w:pPr>
      <w:r>
        <w:t>CEO / President</w:t>
      </w:r>
    </w:p>
    <w:p>
      <w:pPr>
        <w:pStyle w:val="ListBullet"/>
      </w:pPr>
      <w:r>
        <w:t>CFO</w:t>
      </w:r>
    </w:p>
    <w:p>
      <w:pPr>
        <w:pStyle w:val="ListBullet"/>
      </w:pPr>
      <w:r>
        <w:t>COO / VP Operations</w:t>
      </w:r>
    </w:p>
    <w:p>
      <w:pPr>
        <w:pStyle w:val="ListBullet"/>
      </w:pPr>
      <w:r>
        <w:t>VP Sales / Commercial Lead</w:t>
      </w:r>
    </w:p>
    <w:p>
      <w:pPr>
        <w:pStyle w:val="ListBullet"/>
      </w:pPr>
      <w:r>
        <w:t>2–3 additional functional leaders identified during Phase 1</w:t>
      </w:r>
    </w:p>
    <w:p>
      <w:r>
        <w:t>Each interview: 60–90 minutes. Protocol: Webb Advisory's proprietary framework (behavioral competencies + PE-readiness indicators).</w:t>
      </w:r>
    </w:p>
    <w:p>
      <w:pPr>
        <w:pStyle w:val="Heading2"/>
      </w:pPr>
      <w:r>
        <w:t>Phase 3 — Reference &amp; Background Validation (Week 3–4)</w:t>
      </w:r>
    </w:p>
    <w:p>
      <w:pPr>
        <w:pStyle w:val="ListBullet"/>
      </w:pPr>
      <w:r>
        <w:t>Up to 8 reference calls (industry contacts, former colleagues, board members)</w:t>
      </w:r>
    </w:p>
    <w:p>
      <w:pPr>
        <w:pStyle w:val="ListBullet"/>
      </w:pPr>
      <w:r>
        <w:t>Public background research on key leaders</w:t>
      </w:r>
    </w:p>
    <w:p>
      <w:pPr>
        <w:pStyle w:val="ListBullet"/>
      </w:pPr>
      <w:r>
        <w:t>Comparison of stated credentials and track record against interview findings</w:t>
      </w:r>
    </w:p>
    <w:p>
      <w:pPr>
        <w:pStyle w:val="Heading2"/>
      </w:pPr>
      <w:r>
        <w:t>Phase 4 — Assessment &amp; Report (Week 4–6)</w:t>
      </w:r>
    </w:p>
    <w:p>
      <w:r>
        <w:t>Written assessment report (estimated 25–35 pages):</w:t>
      </w:r>
    </w:p>
    <w:p>
      <w:pPr>
        <w:pStyle w:val="ListBullet"/>
      </w:pPr>
      <w:r>
        <w:t>Executive Summary with overall risk rating</w:t>
      </w:r>
    </w:p>
    <w:p>
      <w:pPr>
        <w:pStyle w:val="ListBullet"/>
      </w:pPr>
      <w:r>
        <w:t>Individual leader profiles with competency ratings</w:t>
      </w:r>
    </w:p>
    <w:p>
      <w:pPr>
        <w:pStyle w:val="ListBullet"/>
      </w:pPr>
      <w:r>
        <w:t>Organizational health assessment</w:t>
      </w:r>
    </w:p>
    <w:p>
      <w:pPr>
        <w:pStyle w:val="ListBullet"/>
      </w:pPr>
      <w:r>
        <w:t>Integration risk flags (Red / Yellow / Green)</w:t>
      </w:r>
    </w:p>
    <w:p>
      <w:pPr>
        <w:pStyle w:val="ListBullet"/>
      </w:pPr>
      <w:r>
        <w:t>Recommended operating model adjustments post-close</w:t>
      </w:r>
    </w:p>
    <w:p>
      <w:r>
        <w:t>Management presentation of findings (2 hours). Available for follow-up Q&amp;A during the 30 days post-delivery.</w:t>
      </w:r>
    </w:p>
    <w:p>
      <w:pPr>
        <w:pStyle w:val="Heading2"/>
      </w:pPr>
      <w:r>
        <w:t>FEES &amp; PAYMENT</w:t>
      </w:r>
    </w:p>
    <w:p>
      <w:r>
        <w:t>Engagement fee: $31,000 (flat)</w:t>
      </w:r>
    </w:p>
    <w:p>
      <w:r>
        <w:t>Based on: 4-person management team + 3 additional leaders, $62M EV deal size</w:t>
      </w:r>
    </w:p>
    <w:p>
      <w:r>
        <w:t>Payment schedule:</w:t>
      </w:r>
    </w:p>
    <w:p>
      <w:pPr>
        <w:pStyle w:val="ListBullet"/>
      </w:pPr>
      <w:r>
        <w:t>$10,000 due upon execution of this agreement</w:t>
      </w:r>
    </w:p>
    <w:p>
      <w:pPr>
        <w:pStyle w:val="ListBullet"/>
      </w:pPr>
      <w:r>
        <w:t>$10,000 due upon delivery of Phase 2 (interview completion)</w:t>
      </w:r>
    </w:p>
    <w:p>
      <w:pPr>
        <w:pStyle w:val="ListBullet"/>
      </w:pPr>
      <w:r>
        <w:t>$11,000 due upon delivery of final report</w:t>
      </w:r>
    </w:p>
    <w:p>
      <w:r>
        <w:t>Expenses: Travel costs billed at cost with receipts (estimated $1,500–$2,500).</w:t>
      </w:r>
    </w:p>
    <w:p>
      <w:r>
        <w:t>Rush premium: If timeline is compressed to under 4 weeks at Meridian's request, an additional $4,000 applies.</w:t>
      </w:r>
    </w:p>
    <w:p>
      <w:pPr>
        <w:pStyle w:val="Heading2"/>
      </w:pPr>
      <w:r>
        <w:t>ASSUMPTIONS &amp; EXCLUSIONS</w:t>
      </w:r>
    </w:p>
    <w:p>
      <w:pPr>
        <w:pStyle w:val="ListBullet"/>
      </w:pPr>
      <w:r>
        <w:t>Target management team will be available and cooperative with interview scheduling</w:t>
      </w:r>
    </w:p>
    <w:p>
      <w:pPr>
        <w:pStyle w:val="ListBullet"/>
      </w:pPr>
      <w:r>
        <w:t>Meridian will facilitate introductions and provide document access within 5 business days of signing</w:t>
      </w:r>
    </w:p>
    <w:p>
      <w:pPr>
        <w:pStyle w:val="ListBullet"/>
      </w:pPr>
      <w:r>
        <w:t>This proposal does not include financial or legal due diligence</w:t>
      </w:r>
    </w:p>
    <w:p>
      <w:pPr>
        <w:pStyle w:val="ListBullet"/>
      </w:pPr>
      <w:r>
        <w:t>Cybersecurity or IT infrastructure assessment is excluded unless separately scoped</w:t>
      </w:r>
    </w:p>
    <w:p>
      <w:pPr>
        <w:pStyle w:val="Heading2"/>
      </w:pPr>
      <w:r>
        <w:t>CONTACT</w:t>
      </w:r>
    </w:p>
    <w:p>
      <w:r>
        <w:t>Marcus Webb | marcus@webbadvisory.com | (312) 555-0147 | webbadvisory.com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