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5E91" w14:textId="77777777" w:rsidR="00C71D1E" w:rsidRPr="00C71D1E" w:rsidRDefault="00C71D1E" w:rsidP="00C71D1E">
      <w:pPr>
        <w:spacing w:line="276" w:lineRule="auto"/>
        <w:jc w:val="right"/>
        <w:rPr>
          <w:rFonts w:asciiTheme="majorHAnsi" w:eastAsia="Calibri" w:hAnsiTheme="majorHAnsi" w:cstheme="minorHAnsi"/>
          <w:b/>
          <w:sz w:val="40"/>
          <w:szCs w:val="40"/>
        </w:rPr>
      </w:pPr>
      <w:r w:rsidRPr="00C71D1E">
        <w:rPr>
          <w:rFonts w:asciiTheme="majorHAnsi" w:eastAsia="Calibri" w:hAnsiTheme="majorHAnsi" w:cstheme="minorHAnsi"/>
          <w:b/>
          <w:sz w:val="44"/>
          <w:szCs w:val="44"/>
        </w:rPr>
        <w:t>Brittany L. Mosby, EdD</w:t>
      </w:r>
    </w:p>
    <w:p w14:paraId="50CBACF4" w14:textId="77777777" w:rsidR="00C71D1E" w:rsidRPr="00C71D1E" w:rsidRDefault="00C71D1E" w:rsidP="00C71D1E">
      <w:pPr>
        <w:spacing w:line="276" w:lineRule="auto"/>
        <w:jc w:val="right"/>
        <w:rPr>
          <w:rFonts w:asciiTheme="majorHAnsi" w:eastAsia="Calibri" w:hAnsiTheme="majorHAnsi" w:cstheme="minorHAnsi"/>
          <w:sz w:val="22"/>
          <w:szCs w:val="22"/>
        </w:rPr>
      </w:pPr>
      <w:hyperlink r:id="rId8">
        <w:r w:rsidRPr="00C71D1E">
          <w:rPr>
            <w:rFonts w:asciiTheme="majorHAnsi" w:eastAsia="Calibri" w:hAnsiTheme="majorHAnsi" w:cstheme="minorHAnsi"/>
            <w:color w:val="1155CC"/>
            <w:sz w:val="22"/>
            <w:szCs w:val="22"/>
            <w:u w:val="single"/>
          </w:rPr>
          <w:t>www.linkedin.com/in/brittanymosby</w:t>
        </w:r>
      </w:hyperlink>
    </w:p>
    <w:p w14:paraId="37EFABFF" w14:textId="30B6E309" w:rsidR="0042003F" w:rsidRDefault="00C71D1E" w:rsidP="00C71D1E">
      <w:pPr>
        <w:keepNext/>
        <w:spacing w:line="276" w:lineRule="auto"/>
        <w:jc w:val="right"/>
        <w:rPr>
          <w:rFonts w:asciiTheme="majorHAnsi" w:eastAsia="Calibri" w:hAnsiTheme="majorHAnsi" w:cstheme="minorHAnsi"/>
          <w:color w:val="0000FF" w:themeColor="hyperlink"/>
          <w:szCs w:val="24"/>
          <w:u w:val="single"/>
        </w:rPr>
      </w:pPr>
      <w:r w:rsidRPr="00C71D1E">
        <w:rPr>
          <w:rFonts w:asciiTheme="majorHAnsi" w:eastAsia="Calibri" w:hAnsiTheme="majorHAnsi" w:cstheme="minorHAnsi"/>
          <w:szCs w:val="24"/>
        </w:rPr>
        <w:t xml:space="preserve">865.591.4419 </w:t>
      </w:r>
      <w:r w:rsidRPr="00C71D1E">
        <w:rPr>
          <w:rFonts w:asciiTheme="majorHAnsi" w:eastAsia="Calibri" w:hAnsiTheme="majorHAnsi" w:cstheme="minorHAnsi"/>
          <w:sz w:val="22"/>
          <w:szCs w:val="22"/>
        </w:rPr>
        <w:t xml:space="preserve">| </w:t>
      </w:r>
      <w:hyperlink r:id="rId9" w:history="1">
        <w:r w:rsidRPr="00C71D1E">
          <w:rPr>
            <w:rFonts w:asciiTheme="majorHAnsi" w:eastAsia="Calibri" w:hAnsiTheme="majorHAnsi" w:cstheme="minorHAnsi"/>
            <w:color w:val="0000FF" w:themeColor="hyperlink"/>
            <w:szCs w:val="24"/>
            <w:u w:val="single"/>
          </w:rPr>
          <w:t>contact@BrittanyMosby.com</w:t>
        </w:r>
      </w:hyperlink>
    </w:p>
    <w:p w14:paraId="6D3D29CA" w14:textId="77777777" w:rsidR="00C71D1E" w:rsidRPr="0042003F" w:rsidRDefault="00C71D1E" w:rsidP="00C71D1E">
      <w:pPr>
        <w:keepNext/>
        <w:spacing w:line="276" w:lineRule="auto"/>
        <w:jc w:val="right"/>
        <w:rPr>
          <w:rFonts w:ascii="Cambria" w:hAnsi="Cambria" w:cstheme="minorHAnsi"/>
          <w:bCs/>
          <w:szCs w:val="22"/>
        </w:rPr>
      </w:pPr>
    </w:p>
    <w:p w14:paraId="1C46B31C" w14:textId="0AFB6A7A" w:rsidR="00040FA1" w:rsidRDefault="00490F3B" w:rsidP="00040FA1">
      <w:pPr>
        <w:spacing w:line="276" w:lineRule="auto"/>
        <w:rPr>
          <w:rFonts w:ascii="Cambria" w:hAnsi="Cambria"/>
          <w:noProof/>
        </w:rPr>
      </w:pPr>
      <w:r>
        <w:rPr>
          <w:rFonts w:ascii="Cambria" w:hAnsi="Cambria"/>
          <w:noProof/>
        </w:rPr>
        <w:pict w14:anchorId="29A07028">
          <v:rect id="_x0000_i1026" style="width:0;height:1.5pt" o:hralign="center" o:hrstd="t" o:hr="t" fillcolor="#a0a0a0" stroked="f"/>
        </w:pict>
      </w:r>
    </w:p>
    <w:p w14:paraId="5718BD34" w14:textId="77777777" w:rsidR="000D56E0" w:rsidRDefault="00040FA1" w:rsidP="00040FA1">
      <w:pPr>
        <w:spacing w:after="240" w:line="276" w:lineRule="auto"/>
        <w:jc w:val="center"/>
        <w:rPr>
          <w:rFonts w:ascii="Cambria" w:hAnsi="Cambria"/>
          <w:b/>
          <w:bCs/>
          <w:smallCaps/>
          <w:noProof/>
        </w:rPr>
        <w:sectPr w:rsidR="000D56E0" w:rsidSect="00DD16B0">
          <w:footerReference w:type="default" r:id="rId10"/>
          <w:footerReference w:type="first" r:id="rId11"/>
          <w:pgSz w:w="12240" w:h="15840"/>
          <w:pgMar w:top="1440" w:right="1440" w:bottom="1440" w:left="1440" w:header="720" w:footer="720" w:gutter="0"/>
          <w:pgNumType w:start="1"/>
          <w:cols w:space="720"/>
          <w:noEndnote/>
          <w:titlePg/>
          <w:docGrid w:linePitch="326"/>
        </w:sectPr>
      </w:pPr>
      <w:r w:rsidRPr="00040FA1">
        <w:rPr>
          <w:rFonts w:ascii="Cambria" w:hAnsi="Cambria"/>
          <w:b/>
          <w:bCs/>
          <w:smallCaps/>
          <w:noProof/>
        </w:rPr>
        <w:t>Profile</w:t>
      </w:r>
    </w:p>
    <w:p w14:paraId="27118D6F" w14:textId="77777777" w:rsidR="000D56E0" w:rsidRDefault="00E7674F" w:rsidP="000D56E0">
      <w:pPr>
        <w:spacing w:line="276" w:lineRule="auto"/>
        <w:ind w:left="720" w:right="720"/>
        <w:jc w:val="both"/>
        <w:rPr>
          <w:rFonts w:ascii="Cambria" w:hAnsi="Cambria"/>
          <w:noProof/>
          <w:sz w:val="22"/>
          <w:szCs w:val="18"/>
        </w:rPr>
      </w:pPr>
      <w:r w:rsidRPr="00E7674F">
        <w:rPr>
          <w:rFonts w:ascii="Cambria" w:hAnsi="Cambria"/>
          <w:noProof/>
          <w:sz w:val="22"/>
          <w:szCs w:val="18"/>
        </w:rPr>
        <w:t>Highly accomplished education administration executive with extensive talents and experience across college-level education leadership and policy, academic program development and implementation, college operations, budget management, and relationship development issues. Skilled in development of academic and operational policies/procedures and establishment of academic objectives. Expertise in building and maintaining constructive and cooperative working relationships with students and other academic professionals. Adept at bringing together education professionals and students to identify problems, monitor progress, develop solutions, and ensure adherence to goals and objectives.</w:t>
      </w:r>
    </w:p>
    <w:p w14:paraId="7A7BFD25" w14:textId="01AB636A" w:rsidR="000D56E0" w:rsidRDefault="000D56E0" w:rsidP="00E7674F">
      <w:pPr>
        <w:spacing w:line="276" w:lineRule="auto"/>
        <w:jc w:val="both"/>
        <w:rPr>
          <w:rFonts w:ascii="Cambria" w:hAnsi="Cambria"/>
          <w:noProof/>
          <w:sz w:val="22"/>
          <w:szCs w:val="18"/>
        </w:rPr>
        <w:sectPr w:rsidR="000D56E0" w:rsidSect="000D56E0">
          <w:type w:val="continuous"/>
          <w:pgSz w:w="12240" w:h="15840"/>
          <w:pgMar w:top="1440" w:right="1440" w:bottom="1440" w:left="1440" w:header="720" w:footer="720" w:gutter="0"/>
          <w:pgNumType w:start="1"/>
          <w:cols w:space="720"/>
          <w:noEndnote/>
          <w:titlePg/>
          <w:docGrid w:linePitch="326"/>
        </w:sectPr>
      </w:pPr>
    </w:p>
    <w:p w14:paraId="690F6679" w14:textId="113E85D0" w:rsidR="00DD20CB" w:rsidRPr="00040FA1" w:rsidRDefault="00490F3B" w:rsidP="00E7674F">
      <w:pPr>
        <w:spacing w:line="276" w:lineRule="auto"/>
        <w:jc w:val="both"/>
        <w:rPr>
          <w:rFonts w:ascii="Cambria" w:hAnsi="Cambria" w:cstheme="minorHAnsi"/>
          <w:szCs w:val="22"/>
        </w:rPr>
      </w:pPr>
      <w:r>
        <w:rPr>
          <w:rFonts w:ascii="Cambria" w:hAnsi="Cambria"/>
          <w:noProof/>
        </w:rPr>
        <w:pict w14:anchorId="72D4891C">
          <v:rect id="_x0000_i1067" style="width:0;height:1.5pt" o:hralign="center" o:hrstd="t" o:hr="t" fillcolor="#a0a0a0" stroked="f"/>
        </w:pict>
      </w:r>
    </w:p>
    <w:p w14:paraId="4470105F" w14:textId="01484AA8" w:rsidR="009B1A40" w:rsidRPr="0042003F" w:rsidRDefault="009B1A40" w:rsidP="00040FA1">
      <w:pPr>
        <w:spacing w:after="240" w:line="276" w:lineRule="auto"/>
        <w:jc w:val="center"/>
        <w:rPr>
          <w:rFonts w:ascii="Cambria" w:hAnsi="Cambria"/>
          <w:b/>
          <w:bCs/>
          <w:smallCaps/>
          <w:noProof/>
          <w:szCs w:val="24"/>
        </w:rPr>
        <w:sectPr w:rsidR="009B1A40" w:rsidRPr="0042003F" w:rsidSect="000D56E0">
          <w:type w:val="continuous"/>
          <w:pgSz w:w="12240" w:h="15840"/>
          <w:pgMar w:top="1440" w:right="1440" w:bottom="1440" w:left="1440" w:header="720" w:footer="720" w:gutter="0"/>
          <w:pgNumType w:start="1"/>
          <w:cols w:space="720"/>
          <w:noEndnote/>
          <w:titlePg/>
          <w:docGrid w:linePitch="326"/>
        </w:sectPr>
      </w:pPr>
      <w:r w:rsidRPr="0042003F">
        <w:rPr>
          <w:rFonts w:ascii="Cambria" w:hAnsi="Cambria"/>
          <w:b/>
          <w:bCs/>
          <w:smallCaps/>
          <w:noProof/>
          <w:szCs w:val="24"/>
        </w:rPr>
        <w:t>Skill Highlights</w:t>
      </w:r>
    </w:p>
    <w:p w14:paraId="476ECC37" w14:textId="663D8BA6" w:rsidR="00D5186A" w:rsidRDefault="00D5186A" w:rsidP="00E7674F">
      <w:pPr>
        <w:pStyle w:val="ListParagraph"/>
        <w:numPr>
          <w:ilvl w:val="0"/>
          <w:numId w:val="20"/>
        </w:numPr>
        <w:spacing w:line="276" w:lineRule="auto"/>
        <w:ind w:left="720"/>
        <w:rPr>
          <w:rFonts w:ascii="Cambria" w:hAnsi="Cambria"/>
          <w:noProof/>
          <w:sz w:val="22"/>
          <w:szCs w:val="22"/>
        </w:rPr>
      </w:pPr>
      <w:r>
        <w:rPr>
          <w:rFonts w:ascii="Cambria" w:hAnsi="Cambria"/>
          <w:noProof/>
          <w:sz w:val="22"/>
          <w:szCs w:val="22"/>
        </w:rPr>
        <w:t>Strategic academic planning</w:t>
      </w:r>
    </w:p>
    <w:p w14:paraId="62235278" w14:textId="204FF24C" w:rsidR="00D5186A" w:rsidRDefault="00D5186A" w:rsidP="00E7674F">
      <w:pPr>
        <w:pStyle w:val="ListParagraph"/>
        <w:numPr>
          <w:ilvl w:val="0"/>
          <w:numId w:val="20"/>
        </w:numPr>
        <w:spacing w:line="276" w:lineRule="auto"/>
        <w:ind w:left="720"/>
        <w:rPr>
          <w:rFonts w:ascii="Cambria" w:hAnsi="Cambria"/>
          <w:noProof/>
          <w:sz w:val="22"/>
          <w:szCs w:val="22"/>
        </w:rPr>
      </w:pPr>
      <w:r>
        <w:rPr>
          <w:rFonts w:ascii="Cambria" w:hAnsi="Cambria"/>
          <w:noProof/>
          <w:sz w:val="22"/>
          <w:szCs w:val="22"/>
        </w:rPr>
        <w:t>Curricular redesign</w:t>
      </w:r>
    </w:p>
    <w:p w14:paraId="360F062E" w14:textId="6EFF8AD3" w:rsidR="00D5186A" w:rsidRDefault="00D5186A" w:rsidP="00E7674F">
      <w:pPr>
        <w:pStyle w:val="ListParagraph"/>
        <w:numPr>
          <w:ilvl w:val="0"/>
          <w:numId w:val="20"/>
        </w:numPr>
        <w:spacing w:line="276" w:lineRule="auto"/>
        <w:ind w:left="720"/>
        <w:rPr>
          <w:rFonts w:ascii="Cambria" w:hAnsi="Cambria"/>
          <w:noProof/>
          <w:sz w:val="22"/>
          <w:szCs w:val="22"/>
        </w:rPr>
      </w:pPr>
      <w:r>
        <w:rPr>
          <w:rFonts w:ascii="Cambria" w:hAnsi="Cambria"/>
          <w:noProof/>
          <w:sz w:val="22"/>
          <w:szCs w:val="22"/>
        </w:rPr>
        <w:t>Institutional research &amp; analytics</w:t>
      </w:r>
    </w:p>
    <w:p w14:paraId="704869B8" w14:textId="7CD722D1" w:rsidR="00D5186A" w:rsidRDefault="00D5186A" w:rsidP="00E7674F">
      <w:pPr>
        <w:pStyle w:val="ListParagraph"/>
        <w:numPr>
          <w:ilvl w:val="0"/>
          <w:numId w:val="20"/>
        </w:numPr>
        <w:spacing w:line="276" w:lineRule="auto"/>
        <w:ind w:left="720"/>
        <w:rPr>
          <w:rFonts w:ascii="Cambria" w:hAnsi="Cambria"/>
          <w:noProof/>
          <w:sz w:val="22"/>
          <w:szCs w:val="22"/>
        </w:rPr>
      </w:pPr>
      <w:r>
        <w:rPr>
          <w:rFonts w:ascii="Cambria" w:hAnsi="Cambria"/>
          <w:noProof/>
          <w:sz w:val="22"/>
          <w:szCs w:val="22"/>
        </w:rPr>
        <w:t>Grantwriting</w:t>
      </w:r>
    </w:p>
    <w:p w14:paraId="7283DC60" w14:textId="689A3199" w:rsidR="009B1A40" w:rsidRPr="00D5186A" w:rsidRDefault="00D5186A" w:rsidP="00C71D1E">
      <w:pPr>
        <w:pStyle w:val="ListParagraph"/>
        <w:numPr>
          <w:ilvl w:val="0"/>
          <w:numId w:val="20"/>
        </w:numPr>
        <w:spacing w:line="276" w:lineRule="auto"/>
        <w:ind w:left="720"/>
        <w:rPr>
          <w:rFonts w:ascii="Cambria" w:hAnsi="Cambria"/>
          <w:noProof/>
          <w:sz w:val="22"/>
          <w:szCs w:val="22"/>
        </w:rPr>
      </w:pPr>
      <w:r>
        <w:rPr>
          <w:rFonts w:ascii="Cambria" w:hAnsi="Cambria"/>
          <w:noProof/>
          <w:sz w:val="22"/>
          <w:szCs w:val="22"/>
        </w:rPr>
        <w:t>Faculty development</w:t>
      </w:r>
    </w:p>
    <w:p w14:paraId="65A95311" w14:textId="7E6DA6DA" w:rsidR="009B1A40" w:rsidRDefault="009B1A40" w:rsidP="00040FA1">
      <w:pPr>
        <w:pStyle w:val="ListParagraph"/>
        <w:numPr>
          <w:ilvl w:val="0"/>
          <w:numId w:val="20"/>
        </w:numPr>
        <w:spacing w:line="276" w:lineRule="auto"/>
        <w:rPr>
          <w:rFonts w:ascii="Cambria" w:hAnsi="Cambria"/>
          <w:noProof/>
          <w:sz w:val="22"/>
          <w:szCs w:val="22"/>
        </w:rPr>
      </w:pPr>
      <w:r w:rsidRPr="00040FA1">
        <w:rPr>
          <w:rFonts w:ascii="Cambria" w:hAnsi="Cambria"/>
          <w:noProof/>
          <w:sz w:val="22"/>
          <w:szCs w:val="22"/>
        </w:rPr>
        <w:t>Student-centered learning</w:t>
      </w:r>
    </w:p>
    <w:p w14:paraId="4FA6E517" w14:textId="7C6A04E1" w:rsidR="00D5186A" w:rsidRPr="00040FA1" w:rsidRDefault="00D5186A" w:rsidP="00040FA1">
      <w:pPr>
        <w:pStyle w:val="ListParagraph"/>
        <w:numPr>
          <w:ilvl w:val="0"/>
          <w:numId w:val="20"/>
        </w:numPr>
        <w:spacing w:line="276" w:lineRule="auto"/>
        <w:rPr>
          <w:rFonts w:ascii="Cambria" w:hAnsi="Cambria"/>
          <w:noProof/>
          <w:sz w:val="22"/>
          <w:szCs w:val="22"/>
        </w:rPr>
      </w:pPr>
      <w:r>
        <w:rPr>
          <w:rFonts w:ascii="Cambria" w:hAnsi="Cambria"/>
          <w:noProof/>
          <w:sz w:val="22"/>
          <w:szCs w:val="22"/>
        </w:rPr>
        <w:t>Academic advising</w:t>
      </w:r>
    </w:p>
    <w:p w14:paraId="28A235AC" w14:textId="75BDAFBE" w:rsidR="009B1A40" w:rsidRPr="00040FA1" w:rsidRDefault="009B1A40" w:rsidP="00040FA1">
      <w:pPr>
        <w:pStyle w:val="ListParagraph"/>
        <w:numPr>
          <w:ilvl w:val="0"/>
          <w:numId w:val="20"/>
        </w:numPr>
        <w:spacing w:line="276" w:lineRule="auto"/>
        <w:rPr>
          <w:rFonts w:ascii="Cambria" w:hAnsi="Cambria"/>
          <w:noProof/>
          <w:sz w:val="22"/>
          <w:szCs w:val="22"/>
        </w:rPr>
      </w:pPr>
      <w:r w:rsidRPr="00040FA1">
        <w:rPr>
          <w:rFonts w:ascii="Cambria" w:hAnsi="Cambria"/>
          <w:noProof/>
          <w:sz w:val="22"/>
          <w:szCs w:val="22"/>
        </w:rPr>
        <w:t xml:space="preserve">Community </w:t>
      </w:r>
      <w:r w:rsidR="00C71D1E">
        <w:rPr>
          <w:rFonts w:ascii="Cambria" w:hAnsi="Cambria"/>
          <w:noProof/>
          <w:sz w:val="22"/>
          <w:szCs w:val="22"/>
        </w:rPr>
        <w:t>e</w:t>
      </w:r>
      <w:r w:rsidRPr="00040FA1">
        <w:rPr>
          <w:rFonts w:ascii="Cambria" w:hAnsi="Cambria"/>
          <w:noProof/>
          <w:sz w:val="22"/>
          <w:szCs w:val="22"/>
        </w:rPr>
        <w:t>ngagement</w:t>
      </w:r>
    </w:p>
    <w:p w14:paraId="08C00A69" w14:textId="0DE147F3" w:rsidR="009B1A40" w:rsidRPr="00040FA1" w:rsidRDefault="00C71D1E" w:rsidP="00040FA1">
      <w:pPr>
        <w:pStyle w:val="ListParagraph"/>
        <w:numPr>
          <w:ilvl w:val="0"/>
          <w:numId w:val="20"/>
        </w:numPr>
        <w:spacing w:line="276" w:lineRule="auto"/>
        <w:rPr>
          <w:rFonts w:ascii="Cambria" w:hAnsi="Cambria"/>
          <w:noProof/>
          <w:sz w:val="22"/>
          <w:szCs w:val="22"/>
        </w:rPr>
      </w:pPr>
      <w:r>
        <w:rPr>
          <w:rFonts w:ascii="Cambria" w:hAnsi="Cambria"/>
          <w:noProof/>
          <w:sz w:val="22"/>
          <w:szCs w:val="22"/>
        </w:rPr>
        <w:t>Consensus building</w:t>
      </w:r>
    </w:p>
    <w:p w14:paraId="5F35F10F" w14:textId="77777777" w:rsidR="009B1A40" w:rsidRPr="00040FA1" w:rsidRDefault="009B1A40" w:rsidP="00040FA1">
      <w:pPr>
        <w:spacing w:line="276" w:lineRule="auto"/>
        <w:rPr>
          <w:rFonts w:ascii="Cambria" w:hAnsi="Cambria"/>
          <w:noProof/>
          <w:sz w:val="22"/>
          <w:szCs w:val="22"/>
        </w:rPr>
        <w:sectPr w:rsidR="009B1A40" w:rsidRPr="00040FA1" w:rsidSect="009B1A40">
          <w:type w:val="continuous"/>
          <w:pgSz w:w="12240" w:h="15840"/>
          <w:pgMar w:top="1440" w:right="1440" w:bottom="1440" w:left="1440" w:header="720" w:footer="720" w:gutter="0"/>
          <w:pgNumType w:start="1"/>
          <w:cols w:num="2" w:space="720"/>
          <w:noEndnote/>
          <w:titlePg/>
          <w:docGrid w:linePitch="326"/>
        </w:sectPr>
      </w:pPr>
    </w:p>
    <w:p w14:paraId="30710C99" w14:textId="1A30DA5D" w:rsidR="00DD20CB" w:rsidRPr="00040FA1" w:rsidRDefault="00490F3B" w:rsidP="00040FA1">
      <w:pPr>
        <w:spacing w:line="276" w:lineRule="auto"/>
        <w:rPr>
          <w:rFonts w:ascii="Cambria" w:hAnsi="Cambria" w:cstheme="minorHAnsi"/>
          <w:b/>
          <w:sz w:val="22"/>
          <w:szCs w:val="22"/>
        </w:rPr>
      </w:pPr>
      <w:r>
        <w:rPr>
          <w:rFonts w:ascii="Cambria" w:hAnsi="Cambria"/>
          <w:noProof/>
          <w:sz w:val="22"/>
          <w:szCs w:val="22"/>
        </w:rPr>
        <w:pict w14:anchorId="5E9CF580">
          <v:rect id="_x0000_i1068" style="width:0;height:1.5pt" o:hralign="center" o:hrstd="t" o:hr="t" fillcolor="#a0a0a0" stroked="f"/>
        </w:pict>
      </w:r>
    </w:p>
    <w:p w14:paraId="7BFD1A6D" w14:textId="14F1475E" w:rsidR="0093615C" w:rsidRPr="0042003F" w:rsidRDefault="0093615C" w:rsidP="00040FA1">
      <w:pPr>
        <w:spacing w:after="240" w:line="276" w:lineRule="auto"/>
        <w:jc w:val="center"/>
        <w:rPr>
          <w:rFonts w:ascii="Cambria" w:hAnsi="Cambria"/>
          <w:b/>
          <w:smallCaps/>
          <w:szCs w:val="24"/>
        </w:rPr>
      </w:pPr>
      <w:r w:rsidRPr="0042003F">
        <w:rPr>
          <w:rFonts w:ascii="Cambria" w:hAnsi="Cambria"/>
          <w:b/>
          <w:smallCaps/>
          <w:szCs w:val="24"/>
        </w:rPr>
        <w:t>Professional Experience</w:t>
      </w:r>
    </w:p>
    <w:p w14:paraId="37EBC76D" w14:textId="736D6CD4" w:rsidR="0093615C" w:rsidRPr="00040FA1" w:rsidRDefault="0093615C" w:rsidP="00040FA1">
      <w:pPr>
        <w:tabs>
          <w:tab w:val="left" w:pos="6840"/>
        </w:tabs>
        <w:spacing w:line="276" w:lineRule="auto"/>
        <w:rPr>
          <w:rFonts w:ascii="Cambria" w:hAnsi="Cambria"/>
          <w:sz w:val="22"/>
          <w:szCs w:val="22"/>
        </w:rPr>
      </w:pPr>
      <w:r w:rsidRPr="00040FA1">
        <w:rPr>
          <w:rFonts w:ascii="Cambria" w:hAnsi="Cambria"/>
          <w:sz w:val="22"/>
          <w:szCs w:val="22"/>
        </w:rPr>
        <w:t>Director of Historically Black Colleges and Universities</w:t>
      </w:r>
      <w:r w:rsidR="0042003F">
        <w:rPr>
          <w:rFonts w:ascii="Cambria" w:hAnsi="Cambria"/>
          <w:sz w:val="22"/>
          <w:szCs w:val="22"/>
        </w:rPr>
        <w:t xml:space="preserve"> </w:t>
      </w:r>
      <w:r w:rsidR="005D6C7E" w:rsidRPr="00040FA1">
        <w:rPr>
          <w:rFonts w:ascii="Cambria" w:hAnsi="Cambria"/>
          <w:sz w:val="22"/>
          <w:szCs w:val="22"/>
        </w:rPr>
        <w:t>Success</w:t>
      </w:r>
      <w:r w:rsidRPr="00040FA1">
        <w:rPr>
          <w:rFonts w:ascii="Cambria" w:hAnsi="Cambria"/>
          <w:sz w:val="22"/>
          <w:szCs w:val="22"/>
        </w:rPr>
        <w:tab/>
        <w:t>January 2018 – present</w:t>
      </w:r>
    </w:p>
    <w:p w14:paraId="6B4E75F0" w14:textId="3284546F" w:rsidR="0093615C" w:rsidRPr="00040FA1" w:rsidRDefault="0093615C" w:rsidP="00040FA1">
      <w:pPr>
        <w:tabs>
          <w:tab w:val="left" w:pos="7740"/>
        </w:tabs>
        <w:spacing w:line="276" w:lineRule="auto"/>
        <w:rPr>
          <w:rFonts w:ascii="Cambria" w:hAnsi="Cambria"/>
          <w:i/>
          <w:sz w:val="22"/>
          <w:szCs w:val="22"/>
        </w:rPr>
      </w:pPr>
      <w:r w:rsidRPr="00040FA1">
        <w:rPr>
          <w:rFonts w:ascii="Cambria" w:hAnsi="Cambria"/>
          <w:i/>
          <w:sz w:val="22"/>
          <w:szCs w:val="22"/>
        </w:rPr>
        <w:t>Tennessee Higher Education Commission</w:t>
      </w:r>
    </w:p>
    <w:p w14:paraId="37E68D86" w14:textId="07361E4F" w:rsidR="0093615C" w:rsidRPr="00040FA1" w:rsidRDefault="006F1A18" w:rsidP="00040FA1">
      <w:pPr>
        <w:pStyle w:val="ListParagraph"/>
        <w:tabs>
          <w:tab w:val="left" w:pos="7740"/>
        </w:tabs>
        <w:spacing w:line="276" w:lineRule="auto"/>
        <w:rPr>
          <w:rFonts w:ascii="Cambria" w:hAnsi="Cambria"/>
          <w:sz w:val="22"/>
        </w:rPr>
      </w:pPr>
      <w:r w:rsidRPr="00040FA1">
        <w:rPr>
          <w:rFonts w:ascii="Cambria" w:hAnsi="Cambria"/>
          <w:sz w:val="22"/>
        </w:rPr>
        <w:t>The</w:t>
      </w:r>
      <w:r w:rsidR="0093615C" w:rsidRPr="00040FA1">
        <w:rPr>
          <w:rFonts w:ascii="Cambria" w:hAnsi="Cambria"/>
          <w:sz w:val="22"/>
        </w:rPr>
        <w:t xml:space="preserve"> first higher education </w:t>
      </w:r>
      <w:r w:rsidR="008E47A4" w:rsidRPr="00040FA1">
        <w:rPr>
          <w:rFonts w:ascii="Cambria" w:hAnsi="Cambria"/>
          <w:sz w:val="22"/>
        </w:rPr>
        <w:t>executive</w:t>
      </w:r>
      <w:r w:rsidR="00A23BBB" w:rsidRPr="00040FA1">
        <w:rPr>
          <w:rFonts w:ascii="Cambria" w:hAnsi="Cambria"/>
          <w:sz w:val="22"/>
        </w:rPr>
        <w:t xml:space="preserve"> at the state level focused on strengthening the capacity of both</w:t>
      </w:r>
      <w:r w:rsidR="008F3226" w:rsidRPr="00040FA1">
        <w:rPr>
          <w:rFonts w:ascii="Cambria" w:hAnsi="Cambria"/>
          <w:sz w:val="22"/>
        </w:rPr>
        <w:t xml:space="preserve"> </w:t>
      </w:r>
      <w:r w:rsidR="00A23BBB" w:rsidRPr="00040FA1">
        <w:rPr>
          <w:rFonts w:ascii="Cambria" w:hAnsi="Cambria"/>
          <w:sz w:val="22"/>
        </w:rPr>
        <w:t xml:space="preserve">public and private historically black institutions in Tennessee. </w:t>
      </w:r>
      <w:r w:rsidR="008E47A4" w:rsidRPr="00040FA1">
        <w:rPr>
          <w:rFonts w:ascii="Cambria" w:hAnsi="Cambria"/>
          <w:sz w:val="22"/>
        </w:rPr>
        <w:t>Job responsibilities include utilizing</w:t>
      </w:r>
      <w:r w:rsidR="00A23BBB" w:rsidRPr="00040FA1">
        <w:rPr>
          <w:rFonts w:ascii="Cambria" w:hAnsi="Cambria"/>
          <w:sz w:val="22"/>
        </w:rPr>
        <w:t xml:space="preserve"> </w:t>
      </w:r>
      <w:r w:rsidR="008E47A4" w:rsidRPr="00040FA1">
        <w:rPr>
          <w:rFonts w:ascii="Cambria" w:hAnsi="Cambria"/>
          <w:sz w:val="22"/>
        </w:rPr>
        <w:t xml:space="preserve">research, </w:t>
      </w:r>
      <w:r w:rsidR="00A23BBB" w:rsidRPr="00040FA1">
        <w:rPr>
          <w:rFonts w:ascii="Cambria" w:hAnsi="Cambria"/>
          <w:sz w:val="22"/>
        </w:rPr>
        <w:t>analysis,</w:t>
      </w:r>
      <w:r w:rsidR="008E47A4" w:rsidRPr="00040FA1">
        <w:rPr>
          <w:rFonts w:ascii="Cambria" w:hAnsi="Cambria"/>
          <w:sz w:val="22"/>
        </w:rPr>
        <w:t xml:space="preserve"> and</w:t>
      </w:r>
      <w:r w:rsidR="00A23BBB" w:rsidRPr="00040FA1">
        <w:rPr>
          <w:rFonts w:ascii="Cambria" w:hAnsi="Cambria"/>
          <w:sz w:val="22"/>
        </w:rPr>
        <w:t xml:space="preserve"> programming </w:t>
      </w:r>
      <w:r w:rsidR="008E47A4" w:rsidRPr="00040FA1">
        <w:rPr>
          <w:rFonts w:ascii="Cambria" w:hAnsi="Cambria"/>
          <w:sz w:val="22"/>
        </w:rPr>
        <w:t xml:space="preserve">to </w:t>
      </w:r>
      <w:r w:rsidR="00A23BBB" w:rsidRPr="00040FA1">
        <w:rPr>
          <w:rFonts w:ascii="Cambria" w:hAnsi="Cambria"/>
          <w:sz w:val="22"/>
        </w:rPr>
        <w:t>promot</w:t>
      </w:r>
      <w:r w:rsidR="008E47A4" w:rsidRPr="00040FA1">
        <w:rPr>
          <w:rFonts w:ascii="Cambria" w:hAnsi="Cambria"/>
          <w:sz w:val="22"/>
        </w:rPr>
        <w:t>e</w:t>
      </w:r>
      <w:r w:rsidR="00A23BBB" w:rsidRPr="00040FA1">
        <w:rPr>
          <w:rFonts w:ascii="Cambria" w:hAnsi="Cambria"/>
          <w:sz w:val="22"/>
        </w:rPr>
        <w:t xml:space="preserve"> the positive economic, educational, and workforce impacts of HBCUs and building a community of informed, devoted HBCU supporters across sectors and industries.</w:t>
      </w:r>
    </w:p>
    <w:p w14:paraId="561B0D23" w14:textId="66D3D06E" w:rsidR="00F9543B" w:rsidRPr="00040FA1" w:rsidRDefault="00F9543B" w:rsidP="00040FA1">
      <w:pPr>
        <w:pStyle w:val="ListParagraph"/>
        <w:tabs>
          <w:tab w:val="left" w:pos="7740"/>
        </w:tabs>
        <w:spacing w:line="276" w:lineRule="auto"/>
        <w:rPr>
          <w:rFonts w:ascii="Cambria" w:hAnsi="Cambria"/>
          <w:sz w:val="22"/>
        </w:rPr>
      </w:pPr>
    </w:p>
    <w:p w14:paraId="66EFE832" w14:textId="3F332C78" w:rsidR="00F9543B" w:rsidRPr="00040FA1" w:rsidRDefault="00A971B4" w:rsidP="00040FA1">
      <w:pPr>
        <w:pStyle w:val="ListParagraph"/>
        <w:tabs>
          <w:tab w:val="left" w:pos="7740"/>
        </w:tabs>
        <w:spacing w:line="276" w:lineRule="auto"/>
        <w:rPr>
          <w:rFonts w:ascii="Cambria" w:hAnsi="Cambria"/>
          <w:sz w:val="22"/>
        </w:rPr>
      </w:pPr>
      <w:r w:rsidRPr="00040FA1">
        <w:rPr>
          <w:rFonts w:ascii="Cambria" w:hAnsi="Cambria"/>
          <w:sz w:val="22"/>
        </w:rPr>
        <w:t>Key Accomplishments</w:t>
      </w:r>
    </w:p>
    <w:p w14:paraId="43E28780" w14:textId="794E4D95" w:rsidR="00A971B4" w:rsidRPr="00040FA1" w:rsidRDefault="00A971B4"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t>Administration and management of $1 million in state-appropriated funds for programs supporting HBCUs and underrepresented students in Tennessee</w:t>
      </w:r>
    </w:p>
    <w:p w14:paraId="0BADA687" w14:textId="3998FE46" w:rsidR="00705923" w:rsidRPr="00040FA1" w:rsidRDefault="00705923"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t>Secured the first recurring state appropriation for HBCU-specific programs</w:t>
      </w:r>
    </w:p>
    <w:p w14:paraId="383ADDF0" w14:textId="77777777" w:rsidR="008F3226" w:rsidRPr="00040FA1" w:rsidRDefault="008F3226"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t>Provided technical assistance for institutional effectiveness and student success through an Executive-in-Residence (HBCU XIR)</w:t>
      </w:r>
    </w:p>
    <w:p w14:paraId="46E6CDAB" w14:textId="1D01B2AF" w:rsidR="00705923" w:rsidRPr="00040FA1" w:rsidRDefault="00705923"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lastRenderedPageBreak/>
        <w:t>Developed an internship program</w:t>
      </w:r>
      <w:r w:rsidR="00A96114" w:rsidRPr="00040FA1">
        <w:rPr>
          <w:rFonts w:ascii="Cambria" w:hAnsi="Cambria"/>
          <w:sz w:val="22"/>
        </w:rPr>
        <w:t xml:space="preserve">, </w:t>
      </w:r>
      <w:r w:rsidRPr="00040FA1">
        <w:rPr>
          <w:rFonts w:ascii="Cambria" w:hAnsi="Cambria"/>
          <w:sz w:val="22"/>
        </w:rPr>
        <w:t xml:space="preserve">TN H.I.R.E. </w:t>
      </w:r>
      <w:r w:rsidR="00A96114" w:rsidRPr="00040FA1">
        <w:rPr>
          <w:rFonts w:ascii="Cambria" w:hAnsi="Cambria"/>
          <w:sz w:val="22"/>
        </w:rPr>
        <w:t>(</w:t>
      </w:r>
      <w:r w:rsidRPr="00040FA1">
        <w:rPr>
          <w:rFonts w:ascii="Cambria" w:hAnsi="Cambria"/>
          <w:sz w:val="22"/>
        </w:rPr>
        <w:t>HBCU Interns Reaching for Excellence)</w:t>
      </w:r>
    </w:p>
    <w:p w14:paraId="3116A267" w14:textId="6BCBB3E8" w:rsidR="00705923" w:rsidRPr="00040FA1" w:rsidRDefault="00410FBC"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t>Established the inaugural Tennessee HBCU Success Advisory Board</w:t>
      </w:r>
    </w:p>
    <w:p w14:paraId="767F547F" w14:textId="77777777" w:rsidR="008F3226" w:rsidRPr="00040FA1" w:rsidRDefault="008F3226"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t>Established an annual joint day of legislative HBCU advocacy at the state capitol</w:t>
      </w:r>
    </w:p>
    <w:p w14:paraId="5FE88691" w14:textId="12D0EECB" w:rsidR="008F3226" w:rsidRPr="00040FA1" w:rsidRDefault="008F3226" w:rsidP="00040FA1">
      <w:pPr>
        <w:pStyle w:val="ListParagraph"/>
        <w:numPr>
          <w:ilvl w:val="0"/>
          <w:numId w:val="15"/>
        </w:numPr>
        <w:tabs>
          <w:tab w:val="left" w:pos="7740"/>
        </w:tabs>
        <w:spacing w:line="276" w:lineRule="auto"/>
        <w:rPr>
          <w:rFonts w:ascii="Cambria" w:hAnsi="Cambria"/>
          <w:sz w:val="22"/>
        </w:rPr>
      </w:pPr>
      <w:r w:rsidRPr="00040FA1">
        <w:rPr>
          <w:rFonts w:ascii="Cambria" w:hAnsi="Cambria"/>
          <w:sz w:val="22"/>
        </w:rPr>
        <w:t>Collaborated with diverse external partners, including elected officials, federal agencies, HBCU presidents and institutional staff, non-profit organizations, and business leaders</w:t>
      </w:r>
    </w:p>
    <w:p w14:paraId="22D0135D" w14:textId="77777777" w:rsidR="00A23BBB" w:rsidRPr="00040FA1" w:rsidRDefault="00A23BBB" w:rsidP="00040FA1">
      <w:pPr>
        <w:pStyle w:val="ListParagraph"/>
        <w:tabs>
          <w:tab w:val="left" w:pos="7740"/>
        </w:tabs>
        <w:spacing w:line="276" w:lineRule="auto"/>
        <w:rPr>
          <w:rFonts w:ascii="Cambria" w:hAnsi="Cambria"/>
          <w:sz w:val="22"/>
        </w:rPr>
      </w:pPr>
    </w:p>
    <w:p w14:paraId="7399BFC3" w14:textId="386D03A4" w:rsidR="007B6B64" w:rsidRPr="00040FA1" w:rsidRDefault="007B6B64" w:rsidP="00040FA1">
      <w:pPr>
        <w:tabs>
          <w:tab w:val="left" w:pos="6840"/>
        </w:tabs>
        <w:spacing w:line="276" w:lineRule="auto"/>
        <w:rPr>
          <w:rFonts w:ascii="Cambria" w:hAnsi="Cambria"/>
          <w:sz w:val="22"/>
        </w:rPr>
      </w:pPr>
      <w:r w:rsidRPr="00040FA1">
        <w:rPr>
          <w:rFonts w:ascii="Cambria" w:hAnsi="Cambria"/>
          <w:sz w:val="22"/>
        </w:rPr>
        <w:t>Independent</w:t>
      </w:r>
      <w:r w:rsidR="00C12AE1" w:rsidRPr="00040FA1">
        <w:rPr>
          <w:rFonts w:ascii="Cambria" w:hAnsi="Cambria"/>
          <w:sz w:val="22"/>
        </w:rPr>
        <w:t xml:space="preserve"> </w:t>
      </w:r>
      <w:r w:rsidRPr="00040FA1">
        <w:rPr>
          <w:rFonts w:ascii="Cambria" w:hAnsi="Cambria"/>
          <w:sz w:val="22"/>
        </w:rPr>
        <w:t>Consultant</w:t>
      </w:r>
      <w:r w:rsidRPr="00040FA1">
        <w:rPr>
          <w:rFonts w:ascii="Cambria" w:hAnsi="Cambria"/>
          <w:sz w:val="22"/>
        </w:rPr>
        <w:tab/>
        <w:t>June 201</w:t>
      </w:r>
      <w:r w:rsidR="007D75E5" w:rsidRPr="00040FA1">
        <w:rPr>
          <w:rFonts w:ascii="Cambria" w:hAnsi="Cambria"/>
          <w:sz w:val="22"/>
        </w:rPr>
        <w:t>6</w:t>
      </w:r>
      <w:r w:rsidRPr="00040FA1">
        <w:rPr>
          <w:rFonts w:ascii="Cambria" w:hAnsi="Cambria"/>
          <w:sz w:val="22"/>
        </w:rPr>
        <w:t xml:space="preserve"> – present</w:t>
      </w:r>
    </w:p>
    <w:p w14:paraId="7F83C4EF" w14:textId="2DC5F3D3" w:rsidR="007B6B64" w:rsidRPr="00040FA1" w:rsidRDefault="007B6B64" w:rsidP="00040FA1">
      <w:pPr>
        <w:spacing w:line="276" w:lineRule="auto"/>
        <w:ind w:left="720"/>
        <w:rPr>
          <w:rFonts w:ascii="Cambria" w:hAnsi="Cambria"/>
          <w:sz w:val="22"/>
        </w:rPr>
      </w:pPr>
      <w:r w:rsidRPr="00040FA1">
        <w:rPr>
          <w:rFonts w:ascii="Cambria" w:hAnsi="Cambria"/>
          <w:sz w:val="22"/>
        </w:rPr>
        <w:t xml:space="preserve">Thought-leader and </w:t>
      </w:r>
      <w:r w:rsidR="007D75E5" w:rsidRPr="00040FA1">
        <w:rPr>
          <w:rFonts w:ascii="Cambria" w:hAnsi="Cambria"/>
          <w:sz w:val="22"/>
        </w:rPr>
        <w:t>content-expert</w:t>
      </w:r>
      <w:r w:rsidRPr="00040FA1">
        <w:rPr>
          <w:rFonts w:ascii="Cambria" w:hAnsi="Cambria"/>
          <w:sz w:val="22"/>
        </w:rPr>
        <w:t xml:space="preserve"> in </w:t>
      </w:r>
      <w:r w:rsidR="007D75E5" w:rsidRPr="00040FA1">
        <w:rPr>
          <w:rFonts w:ascii="Cambria" w:hAnsi="Cambria"/>
          <w:sz w:val="22"/>
        </w:rPr>
        <w:t xml:space="preserve">mathematics </w:t>
      </w:r>
      <w:r w:rsidRPr="00040FA1">
        <w:rPr>
          <w:rFonts w:ascii="Cambria" w:hAnsi="Cambria"/>
          <w:sz w:val="22"/>
        </w:rPr>
        <w:t>curricular reform</w:t>
      </w:r>
      <w:r w:rsidR="00C12AE1" w:rsidRPr="00040FA1">
        <w:rPr>
          <w:rFonts w:ascii="Cambria" w:hAnsi="Cambria"/>
          <w:sz w:val="22"/>
        </w:rPr>
        <w:t xml:space="preserve"> for Complete College America and the Charles A. Dana Center at the University of Texas, Austin</w:t>
      </w:r>
      <w:r w:rsidR="007D75E5" w:rsidRPr="00040FA1">
        <w:rPr>
          <w:rFonts w:ascii="Cambria" w:hAnsi="Cambria"/>
          <w:sz w:val="22"/>
        </w:rPr>
        <w:t xml:space="preserve">. </w:t>
      </w:r>
      <w:r w:rsidRPr="00040FA1">
        <w:rPr>
          <w:rFonts w:ascii="Cambria" w:hAnsi="Cambria"/>
          <w:sz w:val="22"/>
        </w:rPr>
        <w:t xml:space="preserve">Consulted directly with departments from a variety of institutions, including </w:t>
      </w:r>
      <w:r w:rsidR="007D75E5" w:rsidRPr="00040FA1">
        <w:rPr>
          <w:rFonts w:ascii="Cambria" w:hAnsi="Cambria"/>
          <w:sz w:val="22"/>
        </w:rPr>
        <w:t xml:space="preserve">statewide system offices, </w:t>
      </w:r>
      <w:r w:rsidRPr="00040FA1">
        <w:rPr>
          <w:rFonts w:ascii="Cambria" w:hAnsi="Cambria"/>
          <w:sz w:val="22"/>
        </w:rPr>
        <w:t xml:space="preserve">community colleges, four-year colleges, and HBCUs. </w:t>
      </w:r>
      <w:r w:rsidR="000B1226" w:rsidRPr="00040FA1">
        <w:rPr>
          <w:rFonts w:ascii="Cambria" w:hAnsi="Cambria"/>
          <w:sz w:val="22"/>
        </w:rPr>
        <w:t xml:space="preserve">Guided work </w:t>
      </w:r>
      <w:r w:rsidR="007D75E5" w:rsidRPr="00040FA1">
        <w:rPr>
          <w:rFonts w:ascii="Cambria" w:hAnsi="Cambria"/>
          <w:sz w:val="22"/>
        </w:rPr>
        <w:t>on</w:t>
      </w:r>
      <w:r w:rsidR="000B1226" w:rsidRPr="00040FA1">
        <w:rPr>
          <w:rFonts w:ascii="Cambria" w:hAnsi="Cambria"/>
          <w:sz w:val="22"/>
        </w:rPr>
        <w:t xml:space="preserve"> </w:t>
      </w:r>
      <w:r w:rsidR="007D75E5" w:rsidRPr="00040FA1">
        <w:rPr>
          <w:rFonts w:ascii="Cambria" w:hAnsi="Cambria"/>
          <w:sz w:val="22"/>
        </w:rPr>
        <w:t xml:space="preserve">implementing new initiatives </w:t>
      </w:r>
      <w:r w:rsidR="000B1226" w:rsidRPr="00040FA1">
        <w:rPr>
          <w:rFonts w:ascii="Cambria" w:hAnsi="Cambria"/>
          <w:sz w:val="22"/>
        </w:rPr>
        <w:t>with a specific focus on equity and maintaining academic rigor for all students. Developed materials for faculty development that integrate mathematics pedagogy with growth mindset and culturally responsive curriculum.</w:t>
      </w:r>
    </w:p>
    <w:p w14:paraId="44DEE527" w14:textId="1C210273" w:rsidR="00DD16B0" w:rsidRPr="00040FA1" w:rsidRDefault="00490F3B" w:rsidP="00040FA1">
      <w:pPr>
        <w:tabs>
          <w:tab w:val="left" w:pos="7200"/>
        </w:tabs>
        <w:spacing w:line="276" w:lineRule="auto"/>
        <w:rPr>
          <w:rFonts w:ascii="Cambria" w:hAnsi="Cambria"/>
          <w:b/>
          <w:bCs/>
          <w:szCs w:val="22"/>
        </w:rPr>
      </w:pPr>
      <w:r>
        <w:rPr>
          <w:rFonts w:ascii="Cambria" w:hAnsi="Cambria"/>
          <w:noProof/>
        </w:rPr>
        <w:pict w14:anchorId="12D54E14">
          <v:rect id="_x0000_i1069" style="width:0;height:1.5pt" o:hralign="center" o:hrstd="t" o:hr="t" fillcolor="#a0a0a0" stroked="f"/>
        </w:pict>
      </w:r>
    </w:p>
    <w:p w14:paraId="335C66E1" w14:textId="338308ED" w:rsidR="00410FBC" w:rsidRPr="00040FA1" w:rsidRDefault="00410FBC" w:rsidP="00040FA1">
      <w:pPr>
        <w:tabs>
          <w:tab w:val="left" w:pos="7200"/>
        </w:tabs>
        <w:spacing w:after="240" w:line="276" w:lineRule="auto"/>
        <w:jc w:val="center"/>
        <w:rPr>
          <w:rFonts w:ascii="Cambria" w:hAnsi="Cambria"/>
          <w:b/>
          <w:bCs/>
          <w:smallCaps/>
          <w:szCs w:val="22"/>
        </w:rPr>
      </w:pPr>
      <w:r w:rsidRPr="00040FA1">
        <w:rPr>
          <w:rFonts w:ascii="Cambria" w:hAnsi="Cambria"/>
          <w:b/>
          <w:bCs/>
          <w:smallCaps/>
          <w:szCs w:val="22"/>
        </w:rPr>
        <w:t>Teaching</w:t>
      </w:r>
    </w:p>
    <w:p w14:paraId="288F2527" w14:textId="77777777" w:rsidR="00410FBC" w:rsidRPr="00040FA1" w:rsidRDefault="00410FBC" w:rsidP="00040FA1">
      <w:pPr>
        <w:tabs>
          <w:tab w:val="left" w:pos="6390"/>
        </w:tabs>
        <w:spacing w:line="276" w:lineRule="auto"/>
        <w:rPr>
          <w:rFonts w:ascii="Cambria" w:hAnsi="Cambria"/>
          <w:sz w:val="22"/>
        </w:rPr>
      </w:pPr>
      <w:r w:rsidRPr="00040FA1">
        <w:rPr>
          <w:rFonts w:ascii="Cambria" w:hAnsi="Cambria"/>
          <w:sz w:val="22"/>
        </w:rPr>
        <w:t>Adjunct Faculty, Leadership, Policy and Organizations</w:t>
      </w:r>
      <w:r w:rsidRPr="00040FA1">
        <w:rPr>
          <w:rFonts w:ascii="Cambria" w:hAnsi="Cambria"/>
          <w:sz w:val="22"/>
        </w:rPr>
        <w:tab/>
        <w:t xml:space="preserve">August 2020 – present </w:t>
      </w:r>
    </w:p>
    <w:p w14:paraId="16911E70" w14:textId="77777777" w:rsidR="00410FBC" w:rsidRPr="00040FA1" w:rsidRDefault="00410FBC" w:rsidP="00040FA1">
      <w:pPr>
        <w:tabs>
          <w:tab w:val="left" w:pos="7200"/>
        </w:tabs>
        <w:spacing w:line="276" w:lineRule="auto"/>
        <w:rPr>
          <w:rFonts w:ascii="Cambria" w:hAnsi="Cambria"/>
          <w:i/>
          <w:iCs/>
          <w:sz w:val="22"/>
        </w:rPr>
      </w:pPr>
      <w:r w:rsidRPr="00040FA1">
        <w:rPr>
          <w:rFonts w:ascii="Cambria" w:hAnsi="Cambria"/>
          <w:i/>
          <w:iCs/>
          <w:sz w:val="22"/>
        </w:rPr>
        <w:t>Peabody College, Vanderbilt University</w:t>
      </w:r>
    </w:p>
    <w:p w14:paraId="2362A937" w14:textId="55697E56" w:rsidR="00040FA1" w:rsidRDefault="0042003F" w:rsidP="00040FA1">
      <w:pPr>
        <w:spacing w:line="276" w:lineRule="auto"/>
        <w:rPr>
          <w:rFonts w:ascii="Cambria" w:hAnsi="Cambria"/>
          <w:sz w:val="22"/>
        </w:rPr>
      </w:pPr>
      <w:r>
        <w:rPr>
          <w:rFonts w:ascii="Cambria" w:hAnsi="Cambria"/>
          <w:sz w:val="22"/>
        </w:rPr>
        <w:tab/>
        <w:t>Ed.D., Leadership and Learning in Organizations</w:t>
      </w:r>
    </w:p>
    <w:p w14:paraId="03A83CBB" w14:textId="13344294" w:rsidR="00040FA1" w:rsidRDefault="00040FA1" w:rsidP="00040FA1">
      <w:pPr>
        <w:pStyle w:val="ListParagraph"/>
        <w:numPr>
          <w:ilvl w:val="0"/>
          <w:numId w:val="22"/>
        </w:numPr>
        <w:spacing w:line="276" w:lineRule="auto"/>
        <w:rPr>
          <w:rFonts w:ascii="Cambria" w:hAnsi="Cambria"/>
          <w:sz w:val="22"/>
        </w:rPr>
      </w:pPr>
      <w:r>
        <w:rPr>
          <w:rFonts w:ascii="Cambria" w:hAnsi="Cambria"/>
          <w:sz w:val="22"/>
        </w:rPr>
        <w:t>Applied Statistics (LLO 8180)</w:t>
      </w:r>
    </w:p>
    <w:p w14:paraId="56EAD818" w14:textId="7071C744" w:rsidR="00040FA1" w:rsidRPr="00040FA1" w:rsidRDefault="00040FA1" w:rsidP="00040FA1">
      <w:pPr>
        <w:pStyle w:val="ListParagraph"/>
        <w:numPr>
          <w:ilvl w:val="0"/>
          <w:numId w:val="22"/>
        </w:numPr>
        <w:spacing w:line="276" w:lineRule="auto"/>
        <w:rPr>
          <w:rFonts w:ascii="Cambria" w:hAnsi="Cambria"/>
          <w:sz w:val="22"/>
        </w:rPr>
      </w:pPr>
      <w:r>
        <w:rPr>
          <w:rFonts w:ascii="Cambria" w:hAnsi="Cambria"/>
          <w:sz w:val="22"/>
        </w:rPr>
        <w:t>Introduction to Data Science (LLO 8180)</w:t>
      </w:r>
    </w:p>
    <w:p w14:paraId="14BDABDB" w14:textId="77777777" w:rsidR="00040FA1" w:rsidRPr="00040FA1" w:rsidRDefault="00040FA1" w:rsidP="00040FA1">
      <w:pPr>
        <w:tabs>
          <w:tab w:val="left" w:pos="7200"/>
        </w:tabs>
        <w:spacing w:line="276" w:lineRule="auto"/>
        <w:rPr>
          <w:rFonts w:ascii="Cambria" w:hAnsi="Cambria"/>
          <w:sz w:val="22"/>
        </w:rPr>
      </w:pPr>
    </w:p>
    <w:p w14:paraId="722BF007" w14:textId="35AC7049" w:rsidR="005A6B0D" w:rsidRPr="00040FA1" w:rsidRDefault="005A6B0D" w:rsidP="00040FA1">
      <w:pPr>
        <w:tabs>
          <w:tab w:val="left" w:pos="6390"/>
        </w:tabs>
        <w:spacing w:line="276" w:lineRule="auto"/>
        <w:rPr>
          <w:rFonts w:ascii="Cambria" w:hAnsi="Cambria"/>
          <w:sz w:val="22"/>
        </w:rPr>
      </w:pPr>
      <w:r w:rsidRPr="00040FA1">
        <w:rPr>
          <w:rFonts w:ascii="Cambria" w:hAnsi="Cambria"/>
          <w:sz w:val="22"/>
        </w:rPr>
        <w:t>Associate Professor, Mathematics</w:t>
      </w:r>
      <w:r w:rsidRPr="00040FA1">
        <w:rPr>
          <w:rFonts w:ascii="Cambria" w:hAnsi="Cambria"/>
          <w:sz w:val="22"/>
        </w:rPr>
        <w:tab/>
        <w:t>August 2011 – December 2017</w:t>
      </w:r>
    </w:p>
    <w:p w14:paraId="1AA42119" w14:textId="77777777" w:rsidR="005A6B0D" w:rsidRPr="00040FA1" w:rsidRDefault="005A6B0D" w:rsidP="00040FA1">
      <w:pPr>
        <w:tabs>
          <w:tab w:val="left" w:pos="7740"/>
        </w:tabs>
        <w:spacing w:line="276" w:lineRule="auto"/>
        <w:rPr>
          <w:rFonts w:ascii="Cambria" w:hAnsi="Cambria"/>
          <w:i/>
          <w:sz w:val="22"/>
        </w:rPr>
      </w:pPr>
      <w:r w:rsidRPr="00040FA1">
        <w:rPr>
          <w:rFonts w:ascii="Cambria" w:hAnsi="Cambria"/>
          <w:i/>
          <w:sz w:val="22"/>
        </w:rPr>
        <w:t>Pellissippi State Community College</w:t>
      </w:r>
    </w:p>
    <w:p w14:paraId="25968CEE" w14:textId="29228984" w:rsidR="008E47A4" w:rsidRPr="00040FA1" w:rsidRDefault="007D75E5" w:rsidP="00040FA1">
      <w:pPr>
        <w:pStyle w:val="ListParagraph"/>
        <w:tabs>
          <w:tab w:val="left" w:pos="7740"/>
        </w:tabs>
        <w:spacing w:line="276" w:lineRule="auto"/>
        <w:rPr>
          <w:rFonts w:ascii="Cambria" w:hAnsi="Cambria"/>
          <w:iCs/>
          <w:sz w:val="22"/>
        </w:rPr>
      </w:pPr>
      <w:r w:rsidRPr="00040FA1">
        <w:rPr>
          <w:rFonts w:ascii="Cambria" w:hAnsi="Cambria"/>
          <w:iCs/>
          <w:sz w:val="22"/>
        </w:rPr>
        <w:t>Key Accomplishments</w:t>
      </w:r>
    </w:p>
    <w:p w14:paraId="2D025782" w14:textId="657BA211" w:rsidR="007D75E5" w:rsidRPr="00040FA1" w:rsidRDefault="007D75E5" w:rsidP="00040FA1">
      <w:pPr>
        <w:pStyle w:val="ListParagraph"/>
        <w:numPr>
          <w:ilvl w:val="0"/>
          <w:numId w:val="16"/>
        </w:numPr>
        <w:tabs>
          <w:tab w:val="left" w:pos="7740"/>
        </w:tabs>
        <w:spacing w:line="276" w:lineRule="auto"/>
        <w:rPr>
          <w:rFonts w:ascii="Cambria" w:hAnsi="Cambria"/>
          <w:iCs/>
          <w:sz w:val="22"/>
        </w:rPr>
      </w:pPr>
      <w:r w:rsidRPr="00040FA1">
        <w:rPr>
          <w:rFonts w:ascii="Cambria" w:hAnsi="Cambria"/>
          <w:iCs/>
          <w:sz w:val="22"/>
        </w:rPr>
        <w:t>Led in the development of an early alert and case management system for at-risk students</w:t>
      </w:r>
    </w:p>
    <w:p w14:paraId="53054ABB" w14:textId="3558ABDC" w:rsidR="007D75E5" w:rsidRPr="00040FA1" w:rsidRDefault="007D75E5" w:rsidP="00040FA1">
      <w:pPr>
        <w:pStyle w:val="ListParagraph"/>
        <w:numPr>
          <w:ilvl w:val="0"/>
          <w:numId w:val="16"/>
        </w:numPr>
        <w:tabs>
          <w:tab w:val="left" w:pos="7740"/>
        </w:tabs>
        <w:spacing w:line="276" w:lineRule="auto"/>
        <w:rPr>
          <w:rFonts w:ascii="Cambria" w:hAnsi="Cambria"/>
          <w:iCs/>
          <w:sz w:val="22"/>
        </w:rPr>
      </w:pPr>
      <w:r w:rsidRPr="00040FA1">
        <w:rPr>
          <w:rFonts w:ascii="Cambria" w:hAnsi="Cambria"/>
          <w:iCs/>
          <w:sz w:val="22"/>
        </w:rPr>
        <w:t>Primary Investigator for three grants with federal funding totaling over $50,000 for curriculum development, creating academic support structures for students, and implementing new technology in the classroom</w:t>
      </w:r>
    </w:p>
    <w:p w14:paraId="25C5F03D" w14:textId="28BC5594" w:rsidR="007D75E5" w:rsidRPr="00040FA1" w:rsidRDefault="00C12AE1" w:rsidP="00040FA1">
      <w:pPr>
        <w:pStyle w:val="ListParagraph"/>
        <w:numPr>
          <w:ilvl w:val="0"/>
          <w:numId w:val="16"/>
        </w:numPr>
        <w:tabs>
          <w:tab w:val="left" w:pos="7740"/>
        </w:tabs>
        <w:spacing w:line="276" w:lineRule="auto"/>
        <w:rPr>
          <w:rFonts w:ascii="Cambria" w:hAnsi="Cambria"/>
          <w:iCs/>
          <w:sz w:val="22"/>
        </w:rPr>
      </w:pPr>
      <w:r w:rsidRPr="00040FA1">
        <w:rPr>
          <w:rFonts w:ascii="Cambria" w:hAnsi="Cambria"/>
          <w:iCs/>
          <w:sz w:val="22"/>
        </w:rPr>
        <w:t>Co-PI for a successfully US Department of Education Title III, Part A grant that secured over $1 million in funding for the establishment of a faculty center for teaching and learning</w:t>
      </w:r>
    </w:p>
    <w:p w14:paraId="5C2BD3A0" w14:textId="402EBD24" w:rsidR="00C12AE1" w:rsidRPr="00040FA1" w:rsidRDefault="00C12AE1" w:rsidP="00040FA1">
      <w:pPr>
        <w:pStyle w:val="ListParagraph"/>
        <w:numPr>
          <w:ilvl w:val="0"/>
          <w:numId w:val="16"/>
        </w:numPr>
        <w:tabs>
          <w:tab w:val="left" w:pos="7740"/>
        </w:tabs>
        <w:spacing w:line="276" w:lineRule="auto"/>
        <w:rPr>
          <w:rFonts w:ascii="Cambria" w:hAnsi="Cambria"/>
          <w:iCs/>
          <w:sz w:val="22"/>
        </w:rPr>
      </w:pPr>
      <w:r w:rsidRPr="00040FA1">
        <w:rPr>
          <w:rFonts w:ascii="Cambria" w:hAnsi="Cambria"/>
          <w:iCs/>
          <w:sz w:val="22"/>
        </w:rPr>
        <w:t>Delivered keynote address during faculty in-service on student success across diverse populations</w:t>
      </w:r>
    </w:p>
    <w:p w14:paraId="5C1AD4BC" w14:textId="76580D2B" w:rsidR="00C12AE1" w:rsidRPr="00040FA1" w:rsidRDefault="00C12AE1" w:rsidP="00040FA1">
      <w:pPr>
        <w:pStyle w:val="ListParagraph"/>
        <w:numPr>
          <w:ilvl w:val="0"/>
          <w:numId w:val="16"/>
        </w:numPr>
        <w:tabs>
          <w:tab w:val="left" w:pos="7740"/>
        </w:tabs>
        <w:spacing w:line="276" w:lineRule="auto"/>
        <w:rPr>
          <w:rFonts w:ascii="Cambria" w:hAnsi="Cambria"/>
          <w:iCs/>
          <w:sz w:val="22"/>
        </w:rPr>
      </w:pPr>
      <w:r w:rsidRPr="00040FA1">
        <w:rPr>
          <w:rFonts w:ascii="Cambria" w:hAnsi="Cambria"/>
          <w:iCs/>
          <w:sz w:val="22"/>
        </w:rPr>
        <w:t xml:space="preserve">Served three terms as a member of the Curriculum Development Committee </w:t>
      </w:r>
    </w:p>
    <w:p w14:paraId="2AFE109A" w14:textId="471733C6" w:rsidR="00BB1095" w:rsidRPr="00040FA1" w:rsidRDefault="00BB1095" w:rsidP="00040FA1">
      <w:pPr>
        <w:tabs>
          <w:tab w:val="left" w:pos="7740"/>
        </w:tabs>
        <w:spacing w:line="276" w:lineRule="auto"/>
        <w:rPr>
          <w:rFonts w:ascii="Cambria" w:hAnsi="Cambria"/>
          <w:iCs/>
          <w:sz w:val="22"/>
        </w:rPr>
      </w:pPr>
    </w:p>
    <w:p w14:paraId="602A02A7" w14:textId="0F535540" w:rsidR="00BB1095" w:rsidRPr="00054031" w:rsidRDefault="00BB1095" w:rsidP="00040FA1">
      <w:pPr>
        <w:tabs>
          <w:tab w:val="left" w:pos="6390"/>
        </w:tabs>
        <w:spacing w:line="276" w:lineRule="auto"/>
        <w:rPr>
          <w:rFonts w:ascii="Cambria" w:hAnsi="Cambria"/>
          <w:iCs/>
          <w:sz w:val="22"/>
          <w:szCs w:val="22"/>
        </w:rPr>
      </w:pPr>
      <w:r w:rsidRPr="00054031">
        <w:rPr>
          <w:rFonts w:ascii="Cambria" w:hAnsi="Cambria"/>
          <w:iCs/>
          <w:sz w:val="22"/>
          <w:szCs w:val="22"/>
        </w:rPr>
        <w:t>Adjunct Faculty, Mathematics</w:t>
      </w:r>
      <w:r w:rsidRPr="00054031">
        <w:rPr>
          <w:rFonts w:ascii="Cambria" w:hAnsi="Cambria"/>
          <w:iCs/>
          <w:sz w:val="22"/>
          <w:szCs w:val="22"/>
        </w:rPr>
        <w:tab/>
      </w:r>
    </w:p>
    <w:p w14:paraId="1A927010" w14:textId="368EFBB3" w:rsidR="00BB1095" w:rsidRPr="00054031" w:rsidRDefault="00BB1095" w:rsidP="00C71D1E">
      <w:pPr>
        <w:tabs>
          <w:tab w:val="left" w:pos="6390"/>
        </w:tabs>
        <w:spacing w:line="276" w:lineRule="auto"/>
        <w:rPr>
          <w:rFonts w:ascii="Cambria" w:hAnsi="Cambria"/>
          <w:i/>
          <w:sz w:val="22"/>
          <w:szCs w:val="22"/>
        </w:rPr>
      </w:pPr>
      <w:r w:rsidRPr="00054031">
        <w:rPr>
          <w:rFonts w:ascii="Cambria" w:hAnsi="Cambria"/>
          <w:i/>
          <w:sz w:val="22"/>
          <w:szCs w:val="22"/>
        </w:rPr>
        <w:t xml:space="preserve">Pellissippi State Community College </w:t>
      </w:r>
      <w:r w:rsidR="00C71D1E">
        <w:rPr>
          <w:rFonts w:ascii="Cambria" w:hAnsi="Cambria"/>
          <w:i/>
          <w:sz w:val="22"/>
          <w:szCs w:val="22"/>
        </w:rPr>
        <w:t xml:space="preserve"> </w:t>
      </w:r>
      <w:r w:rsidR="00C71D1E">
        <w:rPr>
          <w:rFonts w:ascii="Cambria" w:hAnsi="Cambria"/>
          <w:i/>
          <w:sz w:val="22"/>
          <w:szCs w:val="22"/>
        </w:rPr>
        <w:tab/>
      </w:r>
      <w:r w:rsidR="00C71D1E" w:rsidRPr="00054031">
        <w:rPr>
          <w:rFonts w:ascii="Cambria" w:hAnsi="Cambria"/>
          <w:iCs/>
          <w:sz w:val="22"/>
          <w:szCs w:val="22"/>
        </w:rPr>
        <w:t xml:space="preserve">August 2010 – </w:t>
      </w:r>
      <w:r w:rsidR="00C71D1E">
        <w:rPr>
          <w:rFonts w:ascii="Cambria" w:hAnsi="Cambria"/>
          <w:iCs/>
          <w:sz w:val="22"/>
          <w:szCs w:val="22"/>
        </w:rPr>
        <w:t>May</w:t>
      </w:r>
      <w:r w:rsidR="00C71D1E" w:rsidRPr="00054031">
        <w:rPr>
          <w:rFonts w:ascii="Cambria" w:hAnsi="Cambria"/>
          <w:iCs/>
          <w:sz w:val="22"/>
          <w:szCs w:val="22"/>
        </w:rPr>
        <w:t xml:space="preserve"> 2011</w:t>
      </w:r>
    </w:p>
    <w:p w14:paraId="3540B441" w14:textId="754A32F1" w:rsidR="00054031" w:rsidRPr="00054031" w:rsidRDefault="00C71D1E" w:rsidP="00054031">
      <w:pPr>
        <w:tabs>
          <w:tab w:val="left" w:pos="6390"/>
        </w:tabs>
        <w:spacing w:line="276" w:lineRule="auto"/>
        <w:rPr>
          <w:rFonts w:ascii="Cambria" w:hAnsi="Cambria"/>
          <w:noProof/>
          <w:sz w:val="22"/>
          <w:szCs w:val="22"/>
        </w:rPr>
      </w:pPr>
      <w:r w:rsidRPr="00054031">
        <w:rPr>
          <w:rFonts w:ascii="Cambria" w:hAnsi="Cambria"/>
          <w:i/>
          <w:sz w:val="22"/>
          <w:szCs w:val="22"/>
        </w:rPr>
        <w:t>Roane State Community College</w:t>
      </w:r>
      <w:r>
        <w:rPr>
          <w:rFonts w:ascii="Cambria" w:hAnsi="Cambria"/>
          <w:noProof/>
          <w:sz w:val="22"/>
          <w:szCs w:val="22"/>
        </w:rPr>
        <w:tab/>
      </w:r>
      <w:r w:rsidR="00054031" w:rsidRPr="00054031">
        <w:rPr>
          <w:rFonts w:ascii="Cambria" w:hAnsi="Cambria"/>
          <w:noProof/>
          <w:sz w:val="22"/>
          <w:szCs w:val="22"/>
        </w:rPr>
        <w:t>August 2010 – July 2011</w:t>
      </w:r>
    </w:p>
    <w:p w14:paraId="08C26400" w14:textId="28256E91" w:rsidR="005A3AEF" w:rsidRPr="00040FA1" w:rsidRDefault="00490F3B" w:rsidP="00040FA1">
      <w:pPr>
        <w:spacing w:line="276" w:lineRule="auto"/>
        <w:rPr>
          <w:rFonts w:ascii="Cambria" w:hAnsi="Cambria" w:cstheme="minorHAnsi"/>
          <w:b/>
          <w:szCs w:val="22"/>
        </w:rPr>
      </w:pPr>
      <w:r>
        <w:rPr>
          <w:rFonts w:ascii="Cambria" w:hAnsi="Cambria"/>
          <w:noProof/>
        </w:rPr>
        <w:lastRenderedPageBreak/>
        <w:pict w14:anchorId="20B3ADF6">
          <v:rect id="_x0000_i1070" style="width:0;height:1.5pt" o:hralign="center" o:hrstd="t" o:hr="t" fillcolor="#a0a0a0" stroked="f"/>
        </w:pict>
      </w:r>
    </w:p>
    <w:p w14:paraId="32B90F72" w14:textId="2B417215" w:rsidR="00D238FB" w:rsidRPr="00040FA1" w:rsidRDefault="00D238FB" w:rsidP="00040FA1">
      <w:pPr>
        <w:spacing w:after="240" w:line="276" w:lineRule="auto"/>
        <w:jc w:val="center"/>
        <w:rPr>
          <w:rFonts w:ascii="Cambria" w:hAnsi="Cambria" w:cstheme="minorHAnsi"/>
          <w:b/>
          <w:smallCaps/>
          <w:szCs w:val="22"/>
        </w:rPr>
      </w:pPr>
      <w:r w:rsidRPr="00040FA1">
        <w:rPr>
          <w:rFonts w:ascii="Cambria" w:hAnsi="Cambria" w:cstheme="minorHAnsi"/>
          <w:b/>
          <w:smallCaps/>
          <w:szCs w:val="22"/>
        </w:rPr>
        <w:t>Leadership Development</w:t>
      </w:r>
    </w:p>
    <w:p w14:paraId="52276E2B" w14:textId="7444D720" w:rsidR="00D238FB" w:rsidRPr="00040FA1" w:rsidRDefault="00D238FB" w:rsidP="00040FA1">
      <w:pPr>
        <w:spacing w:line="276" w:lineRule="auto"/>
        <w:rPr>
          <w:rFonts w:ascii="Cambria" w:hAnsi="Cambria"/>
          <w:sz w:val="22"/>
          <w:szCs w:val="22"/>
        </w:rPr>
      </w:pPr>
      <w:r w:rsidRPr="00040FA1">
        <w:rPr>
          <w:rFonts w:ascii="Cambria" w:hAnsi="Cambria"/>
          <w:sz w:val="22"/>
          <w:szCs w:val="22"/>
        </w:rPr>
        <w:t>2020</w:t>
      </w:r>
      <w:r w:rsidRPr="00040FA1">
        <w:rPr>
          <w:rFonts w:ascii="Cambria" w:hAnsi="Cambria"/>
          <w:sz w:val="22"/>
          <w:szCs w:val="22"/>
        </w:rPr>
        <w:tab/>
        <w:t>T</w:t>
      </w:r>
      <w:r w:rsidR="00054031">
        <w:rPr>
          <w:rFonts w:ascii="Cambria" w:hAnsi="Cambria"/>
          <w:sz w:val="22"/>
          <w:szCs w:val="22"/>
        </w:rPr>
        <w:t>N S.C.O.R.E.</w:t>
      </w:r>
      <w:r w:rsidRPr="00040FA1">
        <w:rPr>
          <w:rFonts w:ascii="Cambria" w:hAnsi="Cambria"/>
          <w:sz w:val="22"/>
          <w:szCs w:val="22"/>
        </w:rPr>
        <w:t xml:space="preserve"> Complete Tennessee Leadership Institute</w:t>
      </w:r>
    </w:p>
    <w:p w14:paraId="58AE3D48" w14:textId="16C90547" w:rsidR="00D238FB" w:rsidRPr="00040FA1" w:rsidRDefault="00D238FB" w:rsidP="00040FA1">
      <w:pPr>
        <w:spacing w:line="276" w:lineRule="auto"/>
        <w:rPr>
          <w:rFonts w:ascii="Cambria" w:hAnsi="Cambria"/>
          <w:sz w:val="22"/>
          <w:szCs w:val="22"/>
        </w:rPr>
      </w:pPr>
      <w:r w:rsidRPr="00040FA1">
        <w:rPr>
          <w:rFonts w:ascii="Cambria" w:hAnsi="Cambria"/>
          <w:sz w:val="22"/>
          <w:szCs w:val="22"/>
        </w:rPr>
        <w:t>2019</w:t>
      </w:r>
      <w:r w:rsidRPr="00040FA1">
        <w:rPr>
          <w:rFonts w:ascii="Cambria" w:hAnsi="Cambria"/>
          <w:sz w:val="22"/>
          <w:szCs w:val="22"/>
        </w:rPr>
        <w:tab/>
        <w:t>Higher Education Leaders Fellowship</w:t>
      </w:r>
      <w:r w:rsidR="00D05CFD" w:rsidRPr="00040FA1">
        <w:rPr>
          <w:rFonts w:ascii="Cambria" w:hAnsi="Cambria"/>
          <w:sz w:val="22"/>
          <w:szCs w:val="22"/>
        </w:rPr>
        <w:t>, Iota Cohort</w:t>
      </w:r>
    </w:p>
    <w:p w14:paraId="3E9B043C" w14:textId="37681FAA" w:rsidR="00804D70" w:rsidRPr="00040FA1" w:rsidRDefault="00D238FB" w:rsidP="00804D70">
      <w:pPr>
        <w:spacing w:line="276" w:lineRule="auto"/>
        <w:rPr>
          <w:rFonts w:ascii="Cambria" w:hAnsi="Cambria" w:cstheme="minorHAnsi"/>
          <w:sz w:val="22"/>
          <w:szCs w:val="22"/>
        </w:rPr>
      </w:pPr>
      <w:r w:rsidRPr="00040FA1">
        <w:rPr>
          <w:rFonts w:ascii="Cambria" w:hAnsi="Cambria" w:cstheme="minorHAnsi"/>
          <w:sz w:val="22"/>
          <w:szCs w:val="22"/>
        </w:rPr>
        <w:t>2015</w:t>
      </w:r>
      <w:r w:rsidRPr="00040FA1">
        <w:rPr>
          <w:rFonts w:ascii="Cambria" w:hAnsi="Cambria"/>
          <w:sz w:val="22"/>
          <w:szCs w:val="22"/>
        </w:rPr>
        <w:tab/>
        <w:t>Tennessee Board of Regents Maxine Smith</w:t>
      </w:r>
      <w:r w:rsidR="00A96114" w:rsidRPr="00040FA1">
        <w:rPr>
          <w:rFonts w:ascii="Cambria" w:hAnsi="Cambria"/>
          <w:sz w:val="22"/>
          <w:szCs w:val="22"/>
        </w:rPr>
        <w:t xml:space="preserve"> Leadership</w:t>
      </w:r>
      <w:r w:rsidRPr="00040FA1">
        <w:rPr>
          <w:rFonts w:ascii="Cambria" w:hAnsi="Cambria"/>
          <w:sz w:val="22"/>
          <w:szCs w:val="22"/>
        </w:rPr>
        <w:t xml:space="preserve"> Fellow</w:t>
      </w:r>
    </w:p>
    <w:p w14:paraId="79831944" w14:textId="2A96B4DA" w:rsidR="00F90A9E" w:rsidRPr="00040FA1" w:rsidRDefault="00F90A9E" w:rsidP="00040FA1">
      <w:pPr>
        <w:spacing w:line="276" w:lineRule="auto"/>
        <w:rPr>
          <w:rFonts w:ascii="Cambria" w:hAnsi="Cambria" w:cstheme="minorHAnsi"/>
          <w:sz w:val="22"/>
          <w:szCs w:val="22"/>
        </w:rPr>
      </w:pPr>
    </w:p>
    <w:p w14:paraId="4C3AE884" w14:textId="51EA0309" w:rsidR="00790F1C" w:rsidRPr="00040FA1" w:rsidRDefault="00490F3B" w:rsidP="00040FA1">
      <w:pPr>
        <w:spacing w:line="276" w:lineRule="auto"/>
        <w:ind w:left="720" w:hanging="720"/>
        <w:rPr>
          <w:rFonts w:ascii="Cambria" w:hAnsi="Cambria" w:cstheme="minorHAnsi"/>
          <w:b/>
          <w:sz w:val="22"/>
          <w:szCs w:val="22"/>
        </w:rPr>
      </w:pPr>
      <w:r>
        <w:rPr>
          <w:rFonts w:ascii="Cambria" w:hAnsi="Cambria"/>
          <w:noProof/>
        </w:rPr>
        <w:pict w14:anchorId="3EBA0F30">
          <v:rect id="_x0000_i1071" style="width:0;height:1.5pt" o:hralign="center" o:hrstd="t" o:hr="t" fillcolor="#a0a0a0" stroked="f"/>
        </w:pict>
      </w:r>
    </w:p>
    <w:p w14:paraId="0AF6E9A6" w14:textId="5D9A62A0" w:rsidR="00BD0CFF" w:rsidRPr="00040FA1" w:rsidRDefault="00FA105F" w:rsidP="00040FA1">
      <w:pPr>
        <w:spacing w:after="240" w:line="276" w:lineRule="auto"/>
        <w:ind w:left="720" w:hanging="720"/>
        <w:jc w:val="center"/>
        <w:rPr>
          <w:rFonts w:ascii="Cambria" w:hAnsi="Cambria" w:cstheme="minorHAnsi"/>
          <w:b/>
          <w:smallCaps/>
          <w:sz w:val="22"/>
          <w:szCs w:val="22"/>
        </w:rPr>
      </w:pPr>
      <w:r w:rsidRPr="00040FA1">
        <w:rPr>
          <w:rFonts w:ascii="Cambria" w:hAnsi="Cambria" w:cstheme="minorHAnsi"/>
          <w:b/>
          <w:smallCaps/>
          <w:szCs w:val="22"/>
        </w:rPr>
        <w:t xml:space="preserve">Selected </w:t>
      </w:r>
      <w:r w:rsidR="00967CAF" w:rsidRPr="00040FA1">
        <w:rPr>
          <w:rFonts w:ascii="Cambria" w:hAnsi="Cambria" w:cstheme="minorHAnsi"/>
          <w:b/>
          <w:smallCaps/>
          <w:szCs w:val="22"/>
        </w:rPr>
        <w:t>Publications</w:t>
      </w:r>
    </w:p>
    <w:p w14:paraId="2B15BE5D" w14:textId="38C35809" w:rsidR="00D238FB" w:rsidRPr="00040FA1" w:rsidRDefault="00D238FB" w:rsidP="00040FA1">
      <w:pPr>
        <w:spacing w:line="276" w:lineRule="auto"/>
        <w:ind w:left="360" w:hanging="360"/>
        <w:rPr>
          <w:rFonts w:ascii="Cambria" w:hAnsi="Cambria" w:cstheme="minorHAnsi"/>
          <w:sz w:val="22"/>
          <w:szCs w:val="22"/>
        </w:rPr>
      </w:pPr>
      <w:r w:rsidRPr="00040FA1">
        <w:rPr>
          <w:rFonts w:ascii="Cambria" w:hAnsi="Cambria" w:cstheme="minorHAnsi"/>
          <w:sz w:val="22"/>
          <w:szCs w:val="22"/>
        </w:rPr>
        <w:t>Jones, S. and Mosby, B. L.</w:t>
      </w:r>
      <w:r w:rsidR="00F9543B" w:rsidRPr="00040FA1">
        <w:rPr>
          <w:rFonts w:ascii="Cambria" w:hAnsi="Cambria" w:cstheme="minorHAnsi"/>
          <w:sz w:val="22"/>
          <w:szCs w:val="22"/>
        </w:rPr>
        <w:t xml:space="preserve"> (2020). </w:t>
      </w:r>
      <w:r w:rsidR="00F9543B" w:rsidRPr="00040FA1">
        <w:rPr>
          <w:rFonts w:ascii="Cambria" w:hAnsi="Cambria" w:cstheme="minorHAnsi"/>
          <w:i/>
          <w:iCs/>
          <w:sz w:val="22"/>
          <w:szCs w:val="22"/>
        </w:rPr>
        <w:t>From Desegregation to Today: Conceptualizing an Equitable Framework for Funding HBCUs.</w:t>
      </w:r>
      <w:r w:rsidR="00F9543B" w:rsidRPr="00040FA1">
        <w:rPr>
          <w:rFonts w:ascii="Cambria" w:hAnsi="Cambria" w:cstheme="minorHAnsi"/>
          <w:sz w:val="22"/>
          <w:szCs w:val="22"/>
        </w:rPr>
        <w:t xml:space="preserve"> Paper presented at the SHEEO Conference on Public Funding of Higher Education, Virtual.</w:t>
      </w:r>
    </w:p>
    <w:p w14:paraId="0E4AED00" w14:textId="754E66CD" w:rsidR="00D238FB" w:rsidRPr="00040FA1" w:rsidRDefault="00D238FB" w:rsidP="00040FA1">
      <w:pPr>
        <w:spacing w:line="276" w:lineRule="auto"/>
        <w:ind w:left="360" w:hanging="360"/>
        <w:rPr>
          <w:rFonts w:ascii="Cambria" w:hAnsi="Cambria" w:cstheme="minorHAnsi"/>
          <w:sz w:val="22"/>
          <w:szCs w:val="22"/>
        </w:rPr>
      </w:pPr>
    </w:p>
    <w:p w14:paraId="5BCAC51A" w14:textId="22E70E08" w:rsidR="0022212E" w:rsidRPr="00040FA1" w:rsidRDefault="0022212E" w:rsidP="00040FA1">
      <w:pPr>
        <w:spacing w:line="276" w:lineRule="auto"/>
        <w:ind w:left="360" w:hanging="360"/>
        <w:rPr>
          <w:rFonts w:ascii="Cambria" w:hAnsi="Cambria" w:cstheme="minorHAnsi"/>
          <w:sz w:val="22"/>
          <w:szCs w:val="22"/>
        </w:rPr>
      </w:pPr>
      <w:r w:rsidRPr="00040FA1">
        <w:rPr>
          <w:rFonts w:ascii="Cambria" w:hAnsi="Cambria" w:cstheme="minorHAnsi"/>
          <w:sz w:val="22"/>
          <w:szCs w:val="22"/>
        </w:rPr>
        <w:t xml:space="preserve">Tennessee Higher Education Commission. (2019). </w:t>
      </w:r>
      <w:r w:rsidRPr="00040FA1">
        <w:rPr>
          <w:rFonts w:ascii="Cambria" w:hAnsi="Cambria" w:cstheme="minorHAnsi"/>
          <w:i/>
          <w:iCs/>
          <w:sz w:val="22"/>
          <w:szCs w:val="22"/>
        </w:rPr>
        <w:t xml:space="preserve">Evaluating the Effectiveness of Summer Bridge Programs at Tennessee HBCUs. </w:t>
      </w:r>
      <w:r w:rsidRPr="00040FA1">
        <w:rPr>
          <w:rFonts w:ascii="Cambria" w:hAnsi="Cambria" w:cstheme="minorHAnsi"/>
          <w:sz w:val="22"/>
          <w:szCs w:val="22"/>
        </w:rPr>
        <w:t>Nashville, TN: THEC.</w:t>
      </w:r>
    </w:p>
    <w:p w14:paraId="07EEF58A" w14:textId="77777777" w:rsidR="0022212E" w:rsidRPr="00040FA1" w:rsidRDefault="0022212E" w:rsidP="00040FA1">
      <w:pPr>
        <w:spacing w:line="276" w:lineRule="auto"/>
        <w:ind w:left="360" w:hanging="360"/>
        <w:rPr>
          <w:rFonts w:ascii="Cambria" w:hAnsi="Cambria" w:cstheme="minorHAnsi"/>
          <w:sz w:val="22"/>
          <w:szCs w:val="22"/>
        </w:rPr>
      </w:pPr>
    </w:p>
    <w:p w14:paraId="500C652C" w14:textId="20C9ADE6" w:rsidR="00A26E91" w:rsidRPr="00040FA1" w:rsidRDefault="00A26E91" w:rsidP="00040FA1">
      <w:pPr>
        <w:spacing w:line="276" w:lineRule="auto"/>
        <w:ind w:left="360" w:hanging="360"/>
        <w:rPr>
          <w:rFonts w:ascii="Cambria" w:hAnsi="Cambria" w:cstheme="minorHAnsi"/>
          <w:sz w:val="22"/>
          <w:szCs w:val="22"/>
        </w:rPr>
      </w:pPr>
      <w:r w:rsidRPr="00040FA1">
        <w:rPr>
          <w:rFonts w:ascii="Cambria" w:hAnsi="Cambria" w:cstheme="minorHAnsi"/>
          <w:sz w:val="22"/>
          <w:szCs w:val="22"/>
        </w:rPr>
        <w:t>Mosby, B.L.; Pafford, J.</w:t>
      </w:r>
      <w:r w:rsidR="00651E9A" w:rsidRPr="00040FA1">
        <w:rPr>
          <w:rFonts w:ascii="Cambria" w:hAnsi="Cambria" w:cstheme="minorHAnsi"/>
          <w:sz w:val="22"/>
          <w:szCs w:val="22"/>
        </w:rPr>
        <w:t xml:space="preserve">; Wornhoff, A. (2019). </w:t>
      </w:r>
      <w:r w:rsidR="00651E9A" w:rsidRPr="00040FA1">
        <w:rPr>
          <w:rFonts w:ascii="Cambria" w:hAnsi="Cambria" w:cstheme="minorHAnsi"/>
          <w:i/>
          <w:iCs/>
          <w:sz w:val="22"/>
          <w:szCs w:val="22"/>
        </w:rPr>
        <w:t>Poor in the Era of Promise: An Examination of the Experiences of Low-Income Community College Students in Tenne</w:t>
      </w:r>
      <w:r w:rsidR="005A3AEF" w:rsidRPr="00040FA1">
        <w:rPr>
          <w:rFonts w:ascii="Cambria" w:hAnsi="Cambria" w:cstheme="minorHAnsi"/>
          <w:i/>
          <w:iCs/>
          <w:sz w:val="22"/>
          <w:szCs w:val="22"/>
        </w:rPr>
        <w:t xml:space="preserve">ssee </w:t>
      </w:r>
      <w:r w:rsidR="005A3AEF" w:rsidRPr="00040FA1">
        <w:rPr>
          <w:rFonts w:ascii="Cambria" w:hAnsi="Cambria" w:cstheme="minorHAnsi"/>
          <w:sz w:val="22"/>
          <w:szCs w:val="22"/>
        </w:rPr>
        <w:t>[Doctoral dissertation, Peabody College of Vanderbilt University]. VU Institutional Repository. http://hdl.handle.net/1803/9495</w:t>
      </w:r>
    </w:p>
    <w:p w14:paraId="2E6314EE" w14:textId="77777777" w:rsidR="00A26E91" w:rsidRPr="00040FA1" w:rsidRDefault="00A26E91" w:rsidP="00040FA1">
      <w:pPr>
        <w:spacing w:line="276" w:lineRule="auto"/>
        <w:ind w:left="360" w:hanging="360"/>
        <w:rPr>
          <w:rFonts w:ascii="Cambria" w:hAnsi="Cambria" w:cstheme="minorHAnsi"/>
          <w:sz w:val="22"/>
          <w:szCs w:val="22"/>
        </w:rPr>
      </w:pPr>
    </w:p>
    <w:p w14:paraId="3D6E39AE" w14:textId="6AD0319E" w:rsidR="00E403BF" w:rsidRPr="00040FA1" w:rsidRDefault="00552416" w:rsidP="00040FA1">
      <w:pPr>
        <w:spacing w:line="276" w:lineRule="auto"/>
        <w:ind w:left="360" w:hanging="360"/>
        <w:rPr>
          <w:rFonts w:ascii="Cambria" w:hAnsi="Cambria" w:cstheme="minorHAnsi"/>
          <w:sz w:val="22"/>
          <w:szCs w:val="22"/>
        </w:rPr>
      </w:pPr>
      <w:r w:rsidRPr="00040FA1">
        <w:rPr>
          <w:rFonts w:ascii="Cambria" w:hAnsi="Cambria" w:cstheme="minorHAnsi"/>
          <w:sz w:val="22"/>
          <w:szCs w:val="22"/>
        </w:rPr>
        <w:t xml:space="preserve">Pellissippi State Mathematics Department. (2016). </w:t>
      </w:r>
      <w:r w:rsidRPr="00040FA1">
        <w:rPr>
          <w:rFonts w:ascii="Cambria" w:hAnsi="Cambria" w:cstheme="minorHAnsi"/>
          <w:i/>
          <w:sz w:val="22"/>
          <w:szCs w:val="22"/>
        </w:rPr>
        <w:t xml:space="preserve">A Co-Requisite Workbook for Statistics, 1st Edition. </w:t>
      </w:r>
      <w:r w:rsidR="007706D2" w:rsidRPr="00040FA1">
        <w:rPr>
          <w:rFonts w:ascii="Cambria" w:hAnsi="Cambria" w:cstheme="minorHAnsi"/>
          <w:sz w:val="22"/>
          <w:szCs w:val="22"/>
        </w:rPr>
        <w:t xml:space="preserve">Dubuque, IA: </w:t>
      </w:r>
      <w:r w:rsidRPr="00040FA1">
        <w:rPr>
          <w:rFonts w:ascii="Cambria" w:hAnsi="Cambria" w:cstheme="minorHAnsi"/>
          <w:sz w:val="22"/>
          <w:szCs w:val="22"/>
        </w:rPr>
        <w:t>Kendall Hunt.</w:t>
      </w:r>
    </w:p>
    <w:p w14:paraId="48A7A0C7" w14:textId="77777777" w:rsidR="00D405C0" w:rsidRPr="00040FA1" w:rsidRDefault="00D405C0" w:rsidP="00040FA1">
      <w:pPr>
        <w:spacing w:line="276" w:lineRule="auto"/>
        <w:ind w:left="360" w:hanging="360"/>
        <w:rPr>
          <w:rFonts w:ascii="Cambria" w:hAnsi="Cambria" w:cstheme="minorHAnsi"/>
          <w:sz w:val="22"/>
          <w:szCs w:val="22"/>
        </w:rPr>
      </w:pPr>
    </w:p>
    <w:p w14:paraId="61CFC097" w14:textId="77777777" w:rsidR="00E403BF" w:rsidRPr="00040FA1" w:rsidRDefault="00DC4C13" w:rsidP="00040FA1">
      <w:pPr>
        <w:spacing w:line="276" w:lineRule="auto"/>
        <w:ind w:left="360" w:hanging="360"/>
        <w:rPr>
          <w:rFonts w:ascii="Cambria" w:hAnsi="Cambria" w:cstheme="minorHAnsi"/>
          <w:i/>
          <w:sz w:val="22"/>
          <w:szCs w:val="22"/>
        </w:rPr>
      </w:pPr>
      <w:r w:rsidRPr="00040FA1">
        <w:rPr>
          <w:rFonts w:ascii="Cambria" w:hAnsi="Cambria" w:cstheme="minorHAnsi"/>
          <w:sz w:val="22"/>
          <w:szCs w:val="22"/>
        </w:rPr>
        <w:t xml:space="preserve">Mosby, B.L. (2015, September). </w:t>
      </w:r>
      <w:r w:rsidRPr="00040FA1">
        <w:rPr>
          <w:rFonts w:ascii="Cambria" w:hAnsi="Cambria" w:cstheme="minorHAnsi"/>
          <w:i/>
          <w:sz w:val="22"/>
          <w:szCs w:val="22"/>
        </w:rPr>
        <w:t>Using Analytics to Promote Student Success, or “What would you do with all this data?”.</w:t>
      </w:r>
      <w:r w:rsidRPr="00040FA1">
        <w:rPr>
          <w:rFonts w:ascii="Cambria" w:hAnsi="Cambria" w:cstheme="minorHAnsi"/>
          <w:sz w:val="22"/>
          <w:szCs w:val="22"/>
        </w:rPr>
        <w:t xml:space="preserve"> Paper presented at the meeting of TBR Maxine Smith Fellowship, Jackson, TN.</w:t>
      </w:r>
    </w:p>
    <w:p w14:paraId="7A1C59F0" w14:textId="77777777" w:rsidR="00D405C0" w:rsidRPr="00040FA1" w:rsidRDefault="00D405C0" w:rsidP="00040FA1">
      <w:pPr>
        <w:spacing w:line="276" w:lineRule="auto"/>
        <w:ind w:left="360" w:hanging="360"/>
        <w:rPr>
          <w:rFonts w:ascii="Cambria" w:hAnsi="Cambria" w:cstheme="minorHAnsi"/>
          <w:sz w:val="22"/>
          <w:szCs w:val="22"/>
        </w:rPr>
      </w:pPr>
    </w:p>
    <w:p w14:paraId="2CB33A69" w14:textId="3093885D" w:rsidR="00D37218" w:rsidRDefault="00552416" w:rsidP="00040FA1">
      <w:pPr>
        <w:spacing w:line="276" w:lineRule="auto"/>
        <w:ind w:left="360" w:hanging="360"/>
        <w:rPr>
          <w:rFonts w:ascii="Cambria" w:hAnsi="Cambria" w:cstheme="minorHAnsi"/>
          <w:sz w:val="22"/>
          <w:szCs w:val="22"/>
        </w:rPr>
      </w:pPr>
      <w:r w:rsidRPr="00040FA1">
        <w:rPr>
          <w:rFonts w:ascii="Cambria" w:hAnsi="Cambria" w:cstheme="minorHAnsi"/>
          <w:sz w:val="22"/>
          <w:szCs w:val="22"/>
        </w:rPr>
        <w:t xml:space="preserve">Mosby, B.L. (2013, November). </w:t>
      </w:r>
      <w:r w:rsidRPr="00040FA1">
        <w:rPr>
          <w:rFonts w:ascii="Cambria" w:hAnsi="Cambria" w:cstheme="minorHAnsi"/>
          <w:i/>
          <w:sz w:val="22"/>
          <w:szCs w:val="22"/>
        </w:rPr>
        <w:t xml:space="preserve">New Rules of Engagement: Active Learning Strategies in College Algebra. </w:t>
      </w:r>
      <w:r w:rsidRPr="00040FA1">
        <w:rPr>
          <w:rFonts w:ascii="Cambria" w:hAnsi="Cambria" w:cstheme="minorHAnsi"/>
          <w:sz w:val="22"/>
          <w:szCs w:val="22"/>
        </w:rPr>
        <w:t xml:space="preserve">Poster session presented at the meeting of the American Mathematical Association of </w:t>
      </w:r>
      <w:r w:rsidR="00054031" w:rsidRPr="00040FA1">
        <w:rPr>
          <w:rFonts w:ascii="Cambria" w:hAnsi="Cambria" w:cstheme="minorHAnsi"/>
          <w:sz w:val="22"/>
          <w:szCs w:val="22"/>
        </w:rPr>
        <w:t>Two-Year</w:t>
      </w:r>
      <w:r w:rsidRPr="00040FA1">
        <w:rPr>
          <w:rFonts w:ascii="Cambria" w:hAnsi="Cambria" w:cstheme="minorHAnsi"/>
          <w:sz w:val="22"/>
          <w:szCs w:val="22"/>
        </w:rPr>
        <w:t xml:space="preserve"> Colleges, Anaheim, CA.</w:t>
      </w:r>
    </w:p>
    <w:p w14:paraId="26E315D4" w14:textId="70C928C6" w:rsidR="00804D70" w:rsidRDefault="00804D70" w:rsidP="00040FA1">
      <w:pPr>
        <w:spacing w:line="276" w:lineRule="auto"/>
        <w:ind w:left="360" w:hanging="360"/>
        <w:rPr>
          <w:rFonts w:ascii="Cambria" w:hAnsi="Cambria" w:cstheme="minorHAnsi"/>
          <w:sz w:val="22"/>
          <w:szCs w:val="22"/>
        </w:rPr>
      </w:pPr>
    </w:p>
    <w:p w14:paraId="27AB1DCC" w14:textId="0AF1DAC0" w:rsidR="006D04EE" w:rsidRDefault="00490F3B" w:rsidP="00804D70">
      <w:pPr>
        <w:spacing w:line="276" w:lineRule="auto"/>
        <w:rPr>
          <w:rFonts w:ascii="Cambria" w:hAnsi="Cambria"/>
          <w:noProof/>
        </w:rPr>
      </w:pPr>
      <w:r>
        <w:rPr>
          <w:rFonts w:ascii="Cambria" w:hAnsi="Cambria"/>
          <w:noProof/>
        </w:rPr>
        <w:pict w14:anchorId="1A5EB812">
          <v:rect id="_x0000_i1072" style="width:0;height:1.5pt" o:hralign="center" o:bullet="t" o:hrstd="t" o:hr="t" fillcolor="#a0a0a0" stroked="f"/>
        </w:pict>
      </w:r>
    </w:p>
    <w:p w14:paraId="49FC253D" w14:textId="69EEEAFC" w:rsidR="00234E16" w:rsidRPr="00040FA1" w:rsidRDefault="009330E4" w:rsidP="00234E16">
      <w:pPr>
        <w:spacing w:after="240" w:line="276" w:lineRule="auto"/>
        <w:ind w:left="720" w:hanging="720"/>
        <w:jc w:val="center"/>
        <w:rPr>
          <w:rFonts w:ascii="Cambria" w:hAnsi="Cambria" w:cstheme="minorHAnsi"/>
          <w:b/>
          <w:smallCaps/>
          <w:sz w:val="22"/>
          <w:szCs w:val="22"/>
        </w:rPr>
      </w:pPr>
      <w:r>
        <w:rPr>
          <w:rFonts w:ascii="Cambria" w:hAnsi="Cambria" w:cstheme="minorHAnsi"/>
          <w:b/>
          <w:smallCaps/>
          <w:szCs w:val="22"/>
        </w:rPr>
        <w:t>Invited Keynote Addresses</w:t>
      </w:r>
    </w:p>
    <w:p w14:paraId="7968CFFF" w14:textId="5DA131F8" w:rsidR="002A6C72" w:rsidRDefault="002A6C72" w:rsidP="002A6C72">
      <w:pPr>
        <w:spacing w:line="276" w:lineRule="auto"/>
        <w:rPr>
          <w:rFonts w:ascii="Cambria" w:hAnsi="Cambria"/>
          <w:noProof/>
          <w:sz w:val="22"/>
          <w:szCs w:val="18"/>
        </w:rPr>
      </w:pPr>
      <w:r>
        <w:rPr>
          <w:rFonts w:ascii="Cambria" w:hAnsi="Cambria"/>
          <w:noProof/>
          <w:sz w:val="22"/>
          <w:szCs w:val="18"/>
        </w:rPr>
        <w:t>Mosby, B. L. (August 2021). Assesment in Action. Workshop presented during American Baptist College institutional retreat. Nashville, TN.</w:t>
      </w:r>
    </w:p>
    <w:p w14:paraId="2B4E74CC" w14:textId="77777777" w:rsidR="002A6C72" w:rsidRDefault="002A6C72" w:rsidP="002A6C72">
      <w:pPr>
        <w:spacing w:line="276" w:lineRule="auto"/>
        <w:rPr>
          <w:rFonts w:ascii="Cambria" w:hAnsi="Cambria"/>
          <w:noProof/>
          <w:sz w:val="22"/>
          <w:szCs w:val="18"/>
        </w:rPr>
      </w:pPr>
    </w:p>
    <w:p w14:paraId="7A20FD7C" w14:textId="20BB1AF8" w:rsidR="002A6C72" w:rsidRDefault="002A6C72" w:rsidP="002A6C72">
      <w:pPr>
        <w:spacing w:line="276" w:lineRule="auto"/>
        <w:ind w:left="360" w:hanging="360"/>
        <w:rPr>
          <w:rFonts w:ascii="Cambria" w:hAnsi="Cambria"/>
          <w:noProof/>
          <w:sz w:val="22"/>
          <w:szCs w:val="18"/>
        </w:rPr>
      </w:pPr>
      <w:r w:rsidRPr="00367A24">
        <w:rPr>
          <w:rFonts w:ascii="Cambria" w:hAnsi="Cambria"/>
          <w:noProof/>
          <w:sz w:val="22"/>
          <w:szCs w:val="18"/>
        </w:rPr>
        <w:t xml:space="preserve">Mosby, B. L. </w:t>
      </w:r>
      <w:r>
        <w:rPr>
          <w:rFonts w:ascii="Cambria" w:hAnsi="Cambria"/>
          <w:noProof/>
          <w:sz w:val="22"/>
          <w:szCs w:val="18"/>
        </w:rPr>
        <w:t>(June 2021). Teaching to Transgress: Mathematics as a Tool of Social Justice. Talk presented at the Mathematical Sciences Research Institute Workshop on Mathematics and Racial Justice</w:t>
      </w:r>
      <w:r w:rsidR="00F73421">
        <w:rPr>
          <w:rFonts w:ascii="Cambria" w:hAnsi="Cambria"/>
          <w:noProof/>
          <w:sz w:val="22"/>
          <w:szCs w:val="18"/>
        </w:rPr>
        <w:t>.</w:t>
      </w:r>
      <w:r>
        <w:rPr>
          <w:rFonts w:ascii="Cambria" w:hAnsi="Cambria"/>
          <w:noProof/>
          <w:sz w:val="22"/>
          <w:szCs w:val="18"/>
        </w:rPr>
        <w:t xml:space="preserve"> </w:t>
      </w:r>
      <w:r w:rsidR="00F73421">
        <w:rPr>
          <w:rFonts w:ascii="Cambria" w:hAnsi="Cambria"/>
          <w:noProof/>
          <w:sz w:val="22"/>
          <w:szCs w:val="18"/>
        </w:rPr>
        <w:t>(Virtual)</w:t>
      </w:r>
    </w:p>
    <w:p w14:paraId="25521213" w14:textId="77777777" w:rsidR="002A6C72" w:rsidRDefault="002A6C72" w:rsidP="002A6C72">
      <w:pPr>
        <w:spacing w:line="276" w:lineRule="auto"/>
        <w:ind w:left="360" w:hanging="360"/>
        <w:rPr>
          <w:rFonts w:ascii="Cambria" w:hAnsi="Cambria"/>
          <w:noProof/>
          <w:sz w:val="22"/>
          <w:szCs w:val="18"/>
        </w:rPr>
      </w:pPr>
    </w:p>
    <w:p w14:paraId="7B61BC9B" w14:textId="6DDE7616" w:rsidR="00234E16" w:rsidRDefault="008F21D7" w:rsidP="002C72D5">
      <w:pPr>
        <w:spacing w:line="276" w:lineRule="auto"/>
        <w:ind w:left="360" w:hanging="360"/>
        <w:rPr>
          <w:rFonts w:ascii="Cambria" w:hAnsi="Cambria"/>
          <w:noProof/>
          <w:sz w:val="22"/>
          <w:szCs w:val="18"/>
        </w:rPr>
      </w:pPr>
      <w:r w:rsidRPr="00367A24">
        <w:rPr>
          <w:rFonts w:ascii="Cambria" w:hAnsi="Cambria"/>
          <w:noProof/>
          <w:sz w:val="22"/>
          <w:szCs w:val="18"/>
        </w:rPr>
        <w:lastRenderedPageBreak/>
        <w:t xml:space="preserve">Mosby, B. L. </w:t>
      </w:r>
      <w:r w:rsidR="002C72D5">
        <w:rPr>
          <w:rFonts w:ascii="Cambria" w:hAnsi="Cambria"/>
          <w:noProof/>
          <w:sz w:val="22"/>
          <w:szCs w:val="18"/>
        </w:rPr>
        <w:t>(</w:t>
      </w:r>
      <w:r w:rsidR="00014A99">
        <w:rPr>
          <w:rFonts w:ascii="Cambria" w:hAnsi="Cambria"/>
          <w:noProof/>
          <w:sz w:val="22"/>
          <w:szCs w:val="18"/>
        </w:rPr>
        <w:t xml:space="preserve">December </w:t>
      </w:r>
      <w:r w:rsidR="002C72D5">
        <w:rPr>
          <w:rFonts w:ascii="Cambria" w:hAnsi="Cambria"/>
          <w:noProof/>
          <w:sz w:val="22"/>
          <w:szCs w:val="18"/>
        </w:rPr>
        <w:t>2020). Teaching to Transgress: Mathematics as a Tool of Social Justice. Talk presented at the Annual Meeting of the California Mathematics Council for Community Colleges</w:t>
      </w:r>
      <w:r w:rsidR="00F73421">
        <w:rPr>
          <w:rFonts w:ascii="Cambria" w:hAnsi="Cambria"/>
          <w:noProof/>
          <w:sz w:val="22"/>
          <w:szCs w:val="18"/>
        </w:rPr>
        <w:t>. (Virtual).</w:t>
      </w:r>
    </w:p>
    <w:p w14:paraId="7CE62E5B" w14:textId="258D4808" w:rsidR="002A6C72" w:rsidRDefault="002A6C72" w:rsidP="002C72D5">
      <w:pPr>
        <w:spacing w:line="276" w:lineRule="auto"/>
        <w:ind w:left="360" w:hanging="360"/>
        <w:rPr>
          <w:rFonts w:ascii="Cambria" w:hAnsi="Cambria"/>
          <w:noProof/>
          <w:sz w:val="22"/>
          <w:szCs w:val="18"/>
        </w:rPr>
      </w:pPr>
    </w:p>
    <w:p w14:paraId="38110ED5" w14:textId="24EC10BB" w:rsidR="002A6C72" w:rsidRDefault="002A6C72" w:rsidP="002C72D5">
      <w:pPr>
        <w:spacing w:line="276" w:lineRule="auto"/>
        <w:ind w:left="360" w:hanging="360"/>
        <w:rPr>
          <w:rFonts w:ascii="Cambria" w:hAnsi="Cambria"/>
          <w:noProof/>
          <w:sz w:val="22"/>
          <w:szCs w:val="18"/>
        </w:rPr>
      </w:pPr>
      <w:r>
        <w:rPr>
          <w:rFonts w:ascii="Cambria" w:hAnsi="Cambria"/>
          <w:noProof/>
          <w:sz w:val="22"/>
          <w:szCs w:val="18"/>
        </w:rPr>
        <w:t>Mosby, B. L. (November 2020). Historical Overview of Federal Land Grant Universities. Testimony given before the Tennessee General Assembly Joint Sub-Committee on Land Grant Funding</w:t>
      </w:r>
      <w:r w:rsidR="00F73421">
        <w:rPr>
          <w:rFonts w:ascii="Cambria" w:hAnsi="Cambria"/>
          <w:noProof/>
          <w:sz w:val="22"/>
          <w:szCs w:val="18"/>
        </w:rPr>
        <w:t>. Nashville, TN.</w:t>
      </w:r>
    </w:p>
    <w:p w14:paraId="2ABC74C0" w14:textId="1AD7B3C8" w:rsidR="00F73421" w:rsidRDefault="00F73421" w:rsidP="002C72D5">
      <w:pPr>
        <w:spacing w:line="276" w:lineRule="auto"/>
        <w:ind w:left="360" w:hanging="360"/>
        <w:rPr>
          <w:rFonts w:ascii="Cambria" w:hAnsi="Cambria"/>
          <w:noProof/>
          <w:sz w:val="22"/>
          <w:szCs w:val="18"/>
        </w:rPr>
      </w:pPr>
    </w:p>
    <w:p w14:paraId="2A3D2526" w14:textId="2DA6865B" w:rsidR="00F73421" w:rsidRDefault="00F73421" w:rsidP="002C72D5">
      <w:pPr>
        <w:spacing w:line="276" w:lineRule="auto"/>
        <w:ind w:left="360" w:hanging="360"/>
        <w:rPr>
          <w:rFonts w:ascii="Cambria" w:hAnsi="Cambria"/>
          <w:noProof/>
          <w:sz w:val="22"/>
          <w:szCs w:val="18"/>
        </w:rPr>
      </w:pPr>
      <w:r>
        <w:rPr>
          <w:rFonts w:ascii="Cambria" w:hAnsi="Cambria"/>
          <w:noProof/>
          <w:sz w:val="22"/>
          <w:szCs w:val="18"/>
        </w:rPr>
        <w:t>Mosby, B. L. (October 2019). HBCUs, Graduate Education, and Diversifying the Professoriate. Talk presented to the Tennessee Conference of Graduate Schools.</w:t>
      </w:r>
      <w:r w:rsidR="00195995">
        <w:rPr>
          <w:rFonts w:ascii="Cambria" w:hAnsi="Cambria"/>
          <w:noProof/>
          <w:sz w:val="22"/>
          <w:szCs w:val="18"/>
        </w:rPr>
        <w:t xml:space="preserve"> Nashville, TN.</w:t>
      </w:r>
    </w:p>
    <w:p w14:paraId="16874947" w14:textId="77777777" w:rsidR="00F73421" w:rsidRDefault="00F73421" w:rsidP="002C72D5">
      <w:pPr>
        <w:spacing w:line="276" w:lineRule="auto"/>
        <w:ind w:left="360" w:hanging="360"/>
        <w:rPr>
          <w:rFonts w:ascii="Cambria" w:hAnsi="Cambria"/>
          <w:noProof/>
          <w:sz w:val="22"/>
          <w:szCs w:val="18"/>
        </w:rPr>
      </w:pPr>
    </w:p>
    <w:p w14:paraId="6018C4D0" w14:textId="7B489305" w:rsidR="00F73421" w:rsidRDefault="00F73421" w:rsidP="002C72D5">
      <w:pPr>
        <w:spacing w:line="276" w:lineRule="auto"/>
        <w:ind w:left="360" w:hanging="360"/>
        <w:rPr>
          <w:rFonts w:ascii="Cambria" w:hAnsi="Cambria"/>
          <w:noProof/>
          <w:sz w:val="22"/>
          <w:szCs w:val="18"/>
        </w:rPr>
      </w:pPr>
      <w:r>
        <w:rPr>
          <w:rFonts w:ascii="Cambria" w:hAnsi="Cambria"/>
          <w:noProof/>
          <w:sz w:val="22"/>
          <w:szCs w:val="18"/>
        </w:rPr>
        <w:t>Mosby, B. L. (February 2019). Innovations in HBCU Statewide Policu in Tennessee. Talk presented at the 49</w:t>
      </w:r>
      <w:r w:rsidRPr="00F73421">
        <w:rPr>
          <w:rFonts w:ascii="Cambria" w:hAnsi="Cambria"/>
          <w:noProof/>
          <w:sz w:val="22"/>
          <w:szCs w:val="18"/>
          <w:vertAlign w:val="superscript"/>
        </w:rPr>
        <w:t>th</w:t>
      </w:r>
      <w:r>
        <w:rPr>
          <w:rFonts w:ascii="Cambria" w:hAnsi="Cambria"/>
          <w:noProof/>
          <w:sz w:val="22"/>
          <w:szCs w:val="18"/>
        </w:rPr>
        <w:t xml:space="preserve"> Annual Conference of the Council of Historically Black Graduate Schools. Knoxville, TN.</w:t>
      </w:r>
    </w:p>
    <w:p w14:paraId="25C80ED2" w14:textId="687D24D4" w:rsidR="002C72D5" w:rsidRDefault="002C72D5" w:rsidP="002C72D5">
      <w:pPr>
        <w:spacing w:line="276" w:lineRule="auto"/>
        <w:ind w:left="360" w:hanging="360"/>
        <w:rPr>
          <w:rFonts w:ascii="Cambria" w:hAnsi="Cambria"/>
          <w:noProof/>
          <w:sz w:val="22"/>
          <w:szCs w:val="18"/>
        </w:rPr>
      </w:pPr>
    </w:p>
    <w:p w14:paraId="6E4171DC" w14:textId="2AC0207D" w:rsidR="00804D70" w:rsidRPr="00040FA1" w:rsidRDefault="00490F3B" w:rsidP="00804D70">
      <w:pPr>
        <w:spacing w:line="276" w:lineRule="auto"/>
        <w:rPr>
          <w:rFonts w:ascii="Cambria" w:hAnsi="Cambria" w:cstheme="minorHAnsi"/>
          <w:sz w:val="22"/>
          <w:szCs w:val="22"/>
        </w:rPr>
      </w:pPr>
      <w:r>
        <w:rPr>
          <w:rFonts w:ascii="Cambria" w:hAnsi="Cambria"/>
          <w:noProof/>
        </w:rPr>
        <w:pict w14:anchorId="36A9F8A6">
          <v:rect id="_x0000_i1073" style="width:0;height:1.5pt" o:hralign="center" o:hrstd="t" o:hr="t" fillcolor="#a0a0a0" stroked="f"/>
        </w:pict>
      </w:r>
    </w:p>
    <w:p w14:paraId="5FBA0400" w14:textId="77777777" w:rsidR="00804D70" w:rsidRPr="00040FA1" w:rsidRDefault="00804D70" w:rsidP="00804D70">
      <w:pPr>
        <w:spacing w:after="240" w:line="276" w:lineRule="auto"/>
        <w:jc w:val="center"/>
        <w:rPr>
          <w:rFonts w:ascii="Cambria" w:hAnsi="Cambria" w:cstheme="minorHAnsi"/>
          <w:i/>
          <w:smallCaps/>
          <w:szCs w:val="22"/>
        </w:rPr>
      </w:pPr>
      <w:r w:rsidRPr="00040FA1">
        <w:rPr>
          <w:rFonts w:ascii="Cambria" w:hAnsi="Cambria" w:cstheme="minorHAnsi"/>
          <w:b/>
          <w:smallCaps/>
          <w:szCs w:val="22"/>
        </w:rPr>
        <w:t>Honors and Awards</w:t>
      </w:r>
    </w:p>
    <w:p w14:paraId="7E385BC6"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2021</w:t>
      </w:r>
      <w:r w:rsidRPr="00040FA1">
        <w:rPr>
          <w:rFonts w:ascii="Cambria" w:hAnsi="Cambria" w:cstheme="minorHAnsi"/>
          <w:sz w:val="22"/>
          <w:szCs w:val="22"/>
        </w:rPr>
        <w:tab/>
        <w:t>Mathematically Gifted and Black, Circle of Excellence Honoree</w:t>
      </w:r>
    </w:p>
    <w:p w14:paraId="5325AAB9"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2018</w:t>
      </w:r>
      <w:r w:rsidRPr="00040FA1">
        <w:rPr>
          <w:rFonts w:ascii="Cambria" w:hAnsi="Cambria" w:cstheme="minorHAnsi"/>
          <w:sz w:val="22"/>
          <w:szCs w:val="22"/>
        </w:rPr>
        <w:tab/>
        <w:t>Spelman College 40 Under 40 Alumna, Inaugural Awardee</w:t>
      </w:r>
    </w:p>
    <w:p w14:paraId="67135558"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 xml:space="preserve">2016 </w:t>
      </w:r>
      <w:r w:rsidRPr="00040FA1">
        <w:rPr>
          <w:rFonts w:ascii="Cambria" w:hAnsi="Cambria"/>
          <w:sz w:val="22"/>
          <w:szCs w:val="22"/>
        </w:rPr>
        <w:tab/>
        <w:t>Peabody College Honors Scholarship, Vanderbilt University</w:t>
      </w:r>
    </w:p>
    <w:p w14:paraId="6BBDFE83"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2014</w:t>
      </w:r>
      <w:r w:rsidRPr="00040FA1">
        <w:rPr>
          <w:rFonts w:ascii="Cambria" w:hAnsi="Cambria" w:cstheme="minorHAnsi"/>
          <w:sz w:val="22"/>
          <w:szCs w:val="22"/>
        </w:rPr>
        <w:tab/>
        <w:t>Tennessee Consortium for International Studies, Access and Diversity Faculty Fellow</w:t>
      </w:r>
    </w:p>
    <w:p w14:paraId="72D9D6DB"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2012</w:t>
      </w:r>
      <w:r w:rsidRPr="00040FA1">
        <w:rPr>
          <w:rFonts w:ascii="Cambria" w:hAnsi="Cambria" w:cstheme="minorHAnsi"/>
          <w:sz w:val="22"/>
          <w:szCs w:val="22"/>
        </w:rPr>
        <w:tab/>
        <w:t>American Mathematical Association of Two-Year Colleges, Project ACCCESS Fellow</w:t>
      </w:r>
    </w:p>
    <w:p w14:paraId="2A1485B9" w14:textId="77777777" w:rsidR="00804D70" w:rsidRPr="00040FA1" w:rsidRDefault="00490F3B" w:rsidP="00804D70">
      <w:pPr>
        <w:spacing w:line="276" w:lineRule="auto"/>
        <w:rPr>
          <w:rFonts w:ascii="Cambria" w:hAnsi="Cambria" w:cstheme="minorHAnsi"/>
          <w:b/>
          <w:sz w:val="22"/>
          <w:szCs w:val="22"/>
        </w:rPr>
      </w:pPr>
      <w:r>
        <w:rPr>
          <w:rFonts w:ascii="Cambria" w:hAnsi="Cambria"/>
          <w:noProof/>
        </w:rPr>
        <w:pict w14:anchorId="31B4D43E">
          <v:rect id="_x0000_i1074" style="width:0;height:1.5pt" o:hralign="center" o:hrstd="t" o:hr="t" fillcolor="#a0a0a0" stroked="f"/>
        </w:pict>
      </w:r>
    </w:p>
    <w:p w14:paraId="705ACEEA" w14:textId="77777777" w:rsidR="00804D70" w:rsidRPr="00040FA1" w:rsidRDefault="00804D70" w:rsidP="00804D70">
      <w:pPr>
        <w:spacing w:after="240" w:line="276" w:lineRule="auto"/>
        <w:jc w:val="center"/>
        <w:rPr>
          <w:rFonts w:ascii="Cambria" w:hAnsi="Cambria" w:cstheme="minorHAnsi"/>
          <w:b/>
          <w:smallCaps/>
          <w:szCs w:val="22"/>
        </w:rPr>
      </w:pPr>
      <w:r w:rsidRPr="00040FA1">
        <w:rPr>
          <w:rFonts w:ascii="Cambria" w:hAnsi="Cambria" w:cstheme="minorHAnsi"/>
          <w:b/>
          <w:smallCaps/>
          <w:szCs w:val="22"/>
        </w:rPr>
        <w:t>Professional Memberships</w:t>
      </w:r>
    </w:p>
    <w:p w14:paraId="66C0D680"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National Association of Mathematicians, Board member</w:t>
      </w:r>
    </w:p>
    <w:p w14:paraId="0EF1D122"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American Mathematical Association of Two-Year Colleges, lifetime member</w:t>
      </w:r>
    </w:p>
    <w:p w14:paraId="6DF0B6A7"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 xml:space="preserve">Tennessee Mathematical Association of Two-Year Colleges, Past President </w:t>
      </w:r>
    </w:p>
    <w:p w14:paraId="469C1270"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Women in Higher Education in Tennessee, member</w:t>
      </w:r>
    </w:p>
    <w:p w14:paraId="6C7C3092" w14:textId="77777777" w:rsidR="00804D70" w:rsidRPr="00040FA1" w:rsidRDefault="00804D70" w:rsidP="00804D70">
      <w:pPr>
        <w:spacing w:line="276" w:lineRule="auto"/>
        <w:rPr>
          <w:rFonts w:ascii="Cambria" w:hAnsi="Cambria" w:cstheme="minorHAnsi"/>
          <w:sz w:val="22"/>
          <w:szCs w:val="22"/>
        </w:rPr>
      </w:pPr>
      <w:r w:rsidRPr="00040FA1">
        <w:rPr>
          <w:rFonts w:ascii="Cambria" w:hAnsi="Cambria" w:cstheme="minorHAnsi"/>
          <w:sz w:val="22"/>
          <w:szCs w:val="22"/>
        </w:rPr>
        <w:t xml:space="preserve">National Council on Black American Affairs (AACC), member </w:t>
      </w:r>
    </w:p>
    <w:p w14:paraId="702E2E0F" w14:textId="736041BA" w:rsidR="00804D70" w:rsidRPr="00040FA1" w:rsidRDefault="00804D70" w:rsidP="00804D70">
      <w:pPr>
        <w:spacing w:line="276" w:lineRule="auto"/>
        <w:ind w:left="360" w:hanging="360"/>
        <w:rPr>
          <w:rFonts w:ascii="Cambria" w:hAnsi="Cambria" w:cstheme="minorHAnsi"/>
          <w:i/>
          <w:sz w:val="22"/>
          <w:szCs w:val="22"/>
        </w:rPr>
      </w:pPr>
      <w:r w:rsidRPr="00040FA1">
        <w:rPr>
          <w:rFonts w:ascii="Cambria" w:hAnsi="Cambria" w:cstheme="minorHAnsi"/>
          <w:sz w:val="22"/>
          <w:szCs w:val="22"/>
        </w:rPr>
        <w:t>National Alumnae Association of Spelman College (NAASC), member</w:t>
      </w:r>
    </w:p>
    <w:sectPr w:rsidR="00804D70" w:rsidRPr="00040FA1" w:rsidSect="009B1A40">
      <w:type w:val="continuous"/>
      <w:pgSz w:w="12240" w:h="1584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C5DD" w14:textId="77777777" w:rsidR="00AC790C" w:rsidRDefault="00AC790C">
      <w:r>
        <w:separator/>
      </w:r>
    </w:p>
  </w:endnote>
  <w:endnote w:type="continuationSeparator" w:id="0">
    <w:p w14:paraId="402BC7CD" w14:textId="77777777" w:rsidR="00AC790C" w:rsidRDefault="00AC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42131"/>
      <w:docPartObj>
        <w:docPartGallery w:val="Page Numbers (Bottom of Page)"/>
        <w:docPartUnique/>
      </w:docPartObj>
    </w:sdtPr>
    <w:sdtEndPr>
      <w:rPr>
        <w:rFonts w:asciiTheme="majorHAnsi" w:hAnsiTheme="majorHAnsi"/>
        <w:noProof/>
        <w:sz w:val="22"/>
        <w:szCs w:val="18"/>
      </w:rPr>
    </w:sdtEndPr>
    <w:sdtContent>
      <w:p w14:paraId="3EB74B4C" w14:textId="1162B808" w:rsidR="00D05CFD" w:rsidRPr="00D05CFD" w:rsidRDefault="00D05CFD">
        <w:pPr>
          <w:pStyle w:val="Footer"/>
          <w:jc w:val="right"/>
          <w:rPr>
            <w:rFonts w:asciiTheme="majorHAnsi" w:hAnsiTheme="majorHAnsi"/>
            <w:sz w:val="22"/>
            <w:szCs w:val="18"/>
          </w:rPr>
        </w:pPr>
        <w:r w:rsidRPr="00D05CFD">
          <w:rPr>
            <w:rFonts w:asciiTheme="majorHAnsi" w:hAnsiTheme="majorHAnsi"/>
            <w:sz w:val="22"/>
            <w:szCs w:val="18"/>
          </w:rPr>
          <w:fldChar w:fldCharType="begin"/>
        </w:r>
        <w:r w:rsidRPr="00D05CFD">
          <w:rPr>
            <w:rFonts w:asciiTheme="majorHAnsi" w:hAnsiTheme="majorHAnsi"/>
            <w:sz w:val="22"/>
            <w:szCs w:val="18"/>
          </w:rPr>
          <w:instrText xml:space="preserve"> PAGE   \* MERGEFORMAT </w:instrText>
        </w:r>
        <w:r w:rsidRPr="00D05CFD">
          <w:rPr>
            <w:rFonts w:asciiTheme="majorHAnsi" w:hAnsiTheme="majorHAnsi"/>
            <w:sz w:val="22"/>
            <w:szCs w:val="18"/>
          </w:rPr>
          <w:fldChar w:fldCharType="separate"/>
        </w:r>
        <w:r w:rsidRPr="00D05CFD">
          <w:rPr>
            <w:rFonts w:asciiTheme="majorHAnsi" w:hAnsiTheme="majorHAnsi"/>
            <w:noProof/>
            <w:sz w:val="22"/>
            <w:szCs w:val="18"/>
          </w:rPr>
          <w:t>2</w:t>
        </w:r>
        <w:r w:rsidRPr="00D05CFD">
          <w:rPr>
            <w:rFonts w:asciiTheme="majorHAnsi" w:hAnsiTheme="majorHAnsi"/>
            <w:noProof/>
            <w:sz w:val="22"/>
            <w:szCs w:val="18"/>
          </w:rPr>
          <w:fldChar w:fldCharType="end"/>
        </w:r>
      </w:p>
    </w:sdtContent>
  </w:sdt>
  <w:p w14:paraId="110A4A36" w14:textId="77777777" w:rsidR="0049328C" w:rsidRDefault="0049328C">
    <w:pP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8386"/>
      <w:docPartObj>
        <w:docPartGallery w:val="Page Numbers (Bottom of Page)"/>
        <w:docPartUnique/>
      </w:docPartObj>
    </w:sdtPr>
    <w:sdtEndPr>
      <w:rPr>
        <w:rFonts w:asciiTheme="majorHAnsi" w:hAnsiTheme="majorHAnsi"/>
        <w:noProof/>
        <w:sz w:val="22"/>
        <w:szCs w:val="18"/>
      </w:rPr>
    </w:sdtEndPr>
    <w:sdtContent>
      <w:p w14:paraId="443B92DF" w14:textId="53480284" w:rsidR="00D05CFD" w:rsidRPr="00D05CFD" w:rsidRDefault="00D05CFD">
        <w:pPr>
          <w:pStyle w:val="Footer"/>
          <w:jc w:val="right"/>
          <w:rPr>
            <w:rFonts w:asciiTheme="majorHAnsi" w:hAnsiTheme="majorHAnsi"/>
            <w:sz w:val="22"/>
            <w:szCs w:val="18"/>
          </w:rPr>
        </w:pPr>
        <w:r w:rsidRPr="00D05CFD">
          <w:rPr>
            <w:rFonts w:asciiTheme="majorHAnsi" w:hAnsiTheme="majorHAnsi"/>
            <w:sz w:val="22"/>
            <w:szCs w:val="18"/>
          </w:rPr>
          <w:fldChar w:fldCharType="begin"/>
        </w:r>
        <w:r w:rsidRPr="00D05CFD">
          <w:rPr>
            <w:rFonts w:asciiTheme="majorHAnsi" w:hAnsiTheme="majorHAnsi"/>
            <w:sz w:val="22"/>
            <w:szCs w:val="18"/>
          </w:rPr>
          <w:instrText xml:space="preserve"> PAGE   \* MERGEFORMAT </w:instrText>
        </w:r>
        <w:r w:rsidRPr="00D05CFD">
          <w:rPr>
            <w:rFonts w:asciiTheme="majorHAnsi" w:hAnsiTheme="majorHAnsi"/>
            <w:sz w:val="22"/>
            <w:szCs w:val="18"/>
          </w:rPr>
          <w:fldChar w:fldCharType="separate"/>
        </w:r>
        <w:r w:rsidRPr="00D05CFD">
          <w:rPr>
            <w:rFonts w:asciiTheme="majorHAnsi" w:hAnsiTheme="majorHAnsi"/>
            <w:noProof/>
            <w:sz w:val="22"/>
            <w:szCs w:val="18"/>
          </w:rPr>
          <w:t>2</w:t>
        </w:r>
        <w:r w:rsidRPr="00D05CFD">
          <w:rPr>
            <w:rFonts w:asciiTheme="majorHAnsi" w:hAnsiTheme="majorHAnsi"/>
            <w:noProof/>
            <w:sz w:val="22"/>
            <w:szCs w:val="18"/>
          </w:rPr>
          <w:fldChar w:fldCharType="end"/>
        </w:r>
      </w:p>
    </w:sdtContent>
  </w:sdt>
  <w:p w14:paraId="6C65556C" w14:textId="77777777" w:rsidR="00A93473" w:rsidRDefault="00A93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CFF7" w14:textId="77777777" w:rsidR="00AC790C" w:rsidRDefault="00AC790C">
      <w:r>
        <w:separator/>
      </w:r>
    </w:p>
  </w:footnote>
  <w:footnote w:type="continuationSeparator" w:id="0">
    <w:p w14:paraId="37DF923B" w14:textId="77777777" w:rsidR="00AC790C" w:rsidRDefault="00AC7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3BC7F9C"/>
    <w:multiLevelType w:val="hybridMultilevel"/>
    <w:tmpl w:val="8F9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446A"/>
    <w:multiLevelType w:val="hybridMultilevel"/>
    <w:tmpl w:val="BFE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6976"/>
    <w:multiLevelType w:val="hybridMultilevel"/>
    <w:tmpl w:val="29A8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A62E0"/>
    <w:multiLevelType w:val="hybridMultilevel"/>
    <w:tmpl w:val="EC18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D63FD"/>
    <w:multiLevelType w:val="hybridMultilevel"/>
    <w:tmpl w:val="3D44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3117A"/>
    <w:multiLevelType w:val="hybridMultilevel"/>
    <w:tmpl w:val="3DE87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D92C4D"/>
    <w:multiLevelType w:val="hybridMultilevel"/>
    <w:tmpl w:val="6546C9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E50AB6"/>
    <w:multiLevelType w:val="hybridMultilevel"/>
    <w:tmpl w:val="10C0E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F9F25F5"/>
    <w:multiLevelType w:val="hybridMultilevel"/>
    <w:tmpl w:val="CEE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D1193"/>
    <w:multiLevelType w:val="hybridMultilevel"/>
    <w:tmpl w:val="E54E6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0168E5"/>
    <w:multiLevelType w:val="hybridMultilevel"/>
    <w:tmpl w:val="D8AE0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900ADD"/>
    <w:multiLevelType w:val="hybridMultilevel"/>
    <w:tmpl w:val="FD8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57095"/>
    <w:multiLevelType w:val="hybridMultilevel"/>
    <w:tmpl w:val="B60A1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265E32"/>
    <w:multiLevelType w:val="hybridMultilevel"/>
    <w:tmpl w:val="DC58D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E33AF3"/>
    <w:multiLevelType w:val="hybridMultilevel"/>
    <w:tmpl w:val="6810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C945A0"/>
    <w:multiLevelType w:val="hybridMultilevel"/>
    <w:tmpl w:val="7BBA09D0"/>
    <w:lvl w:ilvl="0" w:tplc="F322FBCA">
      <w:start w:val="1"/>
      <w:numFmt w:val="decimal"/>
      <w:lvlText w:val="%1."/>
      <w:lvlJc w:val="left"/>
      <w:pPr>
        <w:ind w:left="720" w:hanging="360"/>
      </w:pPr>
    </w:lvl>
    <w:lvl w:ilvl="1" w:tplc="156404F4">
      <w:start w:val="1"/>
      <w:numFmt w:val="decimal"/>
      <w:lvlText w:val="%2."/>
      <w:lvlJc w:val="left"/>
      <w:pPr>
        <w:ind w:left="1440" w:hanging="1080"/>
      </w:pPr>
    </w:lvl>
    <w:lvl w:ilvl="2" w:tplc="72AEDB36">
      <w:start w:val="1"/>
      <w:numFmt w:val="decimal"/>
      <w:lvlText w:val="%3."/>
      <w:lvlJc w:val="left"/>
      <w:pPr>
        <w:ind w:left="2160" w:hanging="1980"/>
      </w:pPr>
    </w:lvl>
    <w:lvl w:ilvl="3" w:tplc="4D04F052">
      <w:start w:val="1"/>
      <w:numFmt w:val="decimal"/>
      <w:lvlText w:val="%4."/>
      <w:lvlJc w:val="left"/>
      <w:pPr>
        <w:ind w:left="2880" w:hanging="2520"/>
      </w:pPr>
    </w:lvl>
    <w:lvl w:ilvl="4" w:tplc="23E0A00A">
      <w:start w:val="1"/>
      <w:numFmt w:val="decimal"/>
      <w:lvlText w:val="%5."/>
      <w:lvlJc w:val="left"/>
      <w:pPr>
        <w:ind w:left="3600" w:hanging="3240"/>
      </w:pPr>
    </w:lvl>
    <w:lvl w:ilvl="5" w:tplc="2A9CF1E8">
      <w:start w:val="1"/>
      <w:numFmt w:val="decimal"/>
      <w:lvlText w:val="%6."/>
      <w:lvlJc w:val="left"/>
      <w:pPr>
        <w:ind w:left="4320" w:hanging="4140"/>
      </w:pPr>
    </w:lvl>
    <w:lvl w:ilvl="6" w:tplc="D0F8711C">
      <w:start w:val="1"/>
      <w:numFmt w:val="decimal"/>
      <w:lvlText w:val="%7."/>
      <w:lvlJc w:val="left"/>
      <w:pPr>
        <w:ind w:left="5040" w:hanging="4680"/>
      </w:pPr>
    </w:lvl>
    <w:lvl w:ilvl="7" w:tplc="E3944C9E">
      <w:start w:val="1"/>
      <w:numFmt w:val="decimal"/>
      <w:lvlText w:val="%8."/>
      <w:lvlJc w:val="left"/>
      <w:pPr>
        <w:ind w:left="5760" w:hanging="5400"/>
      </w:pPr>
    </w:lvl>
    <w:lvl w:ilvl="8" w:tplc="9A6E0526">
      <w:start w:val="1"/>
      <w:numFmt w:val="decimal"/>
      <w:lvlText w:val="%9."/>
      <w:lvlJc w:val="left"/>
      <w:pPr>
        <w:ind w:left="6480" w:hanging="6300"/>
      </w:pPr>
    </w:lvl>
  </w:abstractNum>
  <w:abstractNum w:abstractNumId="16" w15:restartNumberingAfterBreak="0">
    <w:nsid w:val="4F9C5598"/>
    <w:multiLevelType w:val="hybridMultilevel"/>
    <w:tmpl w:val="EEB8B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D6D19"/>
    <w:multiLevelType w:val="hybridMultilevel"/>
    <w:tmpl w:val="72F0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64580F"/>
    <w:multiLevelType w:val="hybridMultilevel"/>
    <w:tmpl w:val="0186C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47808"/>
    <w:multiLevelType w:val="hybridMultilevel"/>
    <w:tmpl w:val="519A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2D5BF6"/>
    <w:multiLevelType w:val="hybridMultilevel"/>
    <w:tmpl w:val="80D4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F1410B"/>
    <w:multiLevelType w:val="hybridMultilevel"/>
    <w:tmpl w:val="FE1E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206502">
    <w:abstractNumId w:val="18"/>
  </w:num>
  <w:num w:numId="2" w16cid:durableId="14313528">
    <w:abstractNumId w:val="16"/>
  </w:num>
  <w:num w:numId="3" w16cid:durableId="1154377208">
    <w:abstractNumId w:val="15"/>
  </w:num>
  <w:num w:numId="4" w16cid:durableId="1922710841">
    <w:abstractNumId w:val="1"/>
  </w:num>
  <w:num w:numId="5" w16cid:durableId="853689696">
    <w:abstractNumId w:val="8"/>
  </w:num>
  <w:num w:numId="6" w16cid:durableId="1745100880">
    <w:abstractNumId w:val="4"/>
  </w:num>
  <w:num w:numId="7" w16cid:durableId="1419130683">
    <w:abstractNumId w:val="7"/>
  </w:num>
  <w:num w:numId="8" w16cid:durableId="1121848752">
    <w:abstractNumId w:val="2"/>
  </w:num>
  <w:num w:numId="9" w16cid:durableId="899553915">
    <w:abstractNumId w:val="11"/>
  </w:num>
  <w:num w:numId="10" w16cid:durableId="529028920">
    <w:abstractNumId w:val="0"/>
  </w:num>
  <w:num w:numId="11" w16cid:durableId="653334737">
    <w:abstractNumId w:val="21"/>
  </w:num>
  <w:num w:numId="12" w16cid:durableId="1433623504">
    <w:abstractNumId w:val="6"/>
  </w:num>
  <w:num w:numId="13" w16cid:durableId="2035956586">
    <w:abstractNumId w:val="3"/>
  </w:num>
  <w:num w:numId="14" w16cid:durableId="89811907">
    <w:abstractNumId w:val="12"/>
  </w:num>
  <w:num w:numId="15" w16cid:durableId="501744258">
    <w:abstractNumId w:val="19"/>
  </w:num>
  <w:num w:numId="16" w16cid:durableId="1987393495">
    <w:abstractNumId w:val="14"/>
  </w:num>
  <w:num w:numId="17" w16cid:durableId="1985499977">
    <w:abstractNumId w:val="17"/>
  </w:num>
  <w:num w:numId="18" w16cid:durableId="748893673">
    <w:abstractNumId w:val="10"/>
  </w:num>
  <w:num w:numId="19" w16cid:durableId="673264423">
    <w:abstractNumId w:val="13"/>
  </w:num>
  <w:num w:numId="20" w16cid:durableId="1355883085">
    <w:abstractNumId w:val="9"/>
  </w:num>
  <w:num w:numId="21" w16cid:durableId="1865165022">
    <w:abstractNumId w:val="20"/>
  </w:num>
  <w:num w:numId="22" w16cid:durableId="1876962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0CFF"/>
    <w:rsid w:val="000032ED"/>
    <w:rsid w:val="00014A99"/>
    <w:rsid w:val="00040FA1"/>
    <w:rsid w:val="00053819"/>
    <w:rsid w:val="00053C68"/>
    <w:rsid w:val="00054031"/>
    <w:rsid w:val="0006156D"/>
    <w:rsid w:val="00094EF1"/>
    <w:rsid w:val="000B1226"/>
    <w:rsid w:val="000B6CA2"/>
    <w:rsid w:val="000C07DC"/>
    <w:rsid w:val="000D56E0"/>
    <w:rsid w:val="000E197C"/>
    <w:rsid w:val="00101F08"/>
    <w:rsid w:val="001160D8"/>
    <w:rsid w:val="00195995"/>
    <w:rsid w:val="001B0435"/>
    <w:rsid w:val="001D2D3F"/>
    <w:rsid w:val="001E456B"/>
    <w:rsid w:val="001F5EE5"/>
    <w:rsid w:val="0022211B"/>
    <w:rsid w:val="0022212E"/>
    <w:rsid w:val="00230E87"/>
    <w:rsid w:val="00234E16"/>
    <w:rsid w:val="00246935"/>
    <w:rsid w:val="00286E14"/>
    <w:rsid w:val="002A6C72"/>
    <w:rsid w:val="002B085A"/>
    <w:rsid w:val="002C1A3C"/>
    <w:rsid w:val="002C72D5"/>
    <w:rsid w:val="002D76A9"/>
    <w:rsid w:val="002F7AD6"/>
    <w:rsid w:val="003014C1"/>
    <w:rsid w:val="00306358"/>
    <w:rsid w:val="00325C81"/>
    <w:rsid w:val="00335944"/>
    <w:rsid w:val="00366C14"/>
    <w:rsid w:val="00367A24"/>
    <w:rsid w:val="003D0119"/>
    <w:rsid w:val="00410FBC"/>
    <w:rsid w:val="0042003F"/>
    <w:rsid w:val="00484CAF"/>
    <w:rsid w:val="00486BB1"/>
    <w:rsid w:val="00490F3B"/>
    <w:rsid w:val="0049328C"/>
    <w:rsid w:val="004A571F"/>
    <w:rsid w:val="004E1538"/>
    <w:rsid w:val="0051588F"/>
    <w:rsid w:val="005214BD"/>
    <w:rsid w:val="00530825"/>
    <w:rsid w:val="00533C61"/>
    <w:rsid w:val="00541145"/>
    <w:rsid w:val="00551D13"/>
    <w:rsid w:val="00552416"/>
    <w:rsid w:val="00560255"/>
    <w:rsid w:val="0058156F"/>
    <w:rsid w:val="005A3AEF"/>
    <w:rsid w:val="005A6B0D"/>
    <w:rsid w:val="005A7DCC"/>
    <w:rsid w:val="005C3A4C"/>
    <w:rsid w:val="005D6C7E"/>
    <w:rsid w:val="005E73A4"/>
    <w:rsid w:val="00642EC8"/>
    <w:rsid w:val="00651E9A"/>
    <w:rsid w:val="00656F42"/>
    <w:rsid w:val="00662729"/>
    <w:rsid w:val="006707EC"/>
    <w:rsid w:val="0067300B"/>
    <w:rsid w:val="006818D2"/>
    <w:rsid w:val="00686252"/>
    <w:rsid w:val="006B3DD6"/>
    <w:rsid w:val="006C3EA5"/>
    <w:rsid w:val="006D04EE"/>
    <w:rsid w:val="006D3130"/>
    <w:rsid w:val="006F1A18"/>
    <w:rsid w:val="00705923"/>
    <w:rsid w:val="00724F32"/>
    <w:rsid w:val="007407D0"/>
    <w:rsid w:val="00757DE7"/>
    <w:rsid w:val="00760D09"/>
    <w:rsid w:val="007706D2"/>
    <w:rsid w:val="00790F1C"/>
    <w:rsid w:val="00796FF6"/>
    <w:rsid w:val="007B03DB"/>
    <w:rsid w:val="007B6B64"/>
    <w:rsid w:val="007C1967"/>
    <w:rsid w:val="007D23F4"/>
    <w:rsid w:val="007D75E5"/>
    <w:rsid w:val="007E0673"/>
    <w:rsid w:val="007F0D8F"/>
    <w:rsid w:val="007F48F9"/>
    <w:rsid w:val="00804D70"/>
    <w:rsid w:val="008377B7"/>
    <w:rsid w:val="008604D8"/>
    <w:rsid w:val="008A29B5"/>
    <w:rsid w:val="008B72AB"/>
    <w:rsid w:val="008B7826"/>
    <w:rsid w:val="008C2581"/>
    <w:rsid w:val="008E47A4"/>
    <w:rsid w:val="008F21D7"/>
    <w:rsid w:val="008F3226"/>
    <w:rsid w:val="0091292D"/>
    <w:rsid w:val="009330E4"/>
    <w:rsid w:val="0093615C"/>
    <w:rsid w:val="00936EEE"/>
    <w:rsid w:val="00967CAF"/>
    <w:rsid w:val="00980A85"/>
    <w:rsid w:val="009A1A86"/>
    <w:rsid w:val="009A54FC"/>
    <w:rsid w:val="009B1A40"/>
    <w:rsid w:val="009C548B"/>
    <w:rsid w:val="009D73F3"/>
    <w:rsid w:val="009E7BE4"/>
    <w:rsid w:val="00A02E84"/>
    <w:rsid w:val="00A23BBB"/>
    <w:rsid w:val="00A26E91"/>
    <w:rsid w:val="00A46483"/>
    <w:rsid w:val="00A51666"/>
    <w:rsid w:val="00A85643"/>
    <w:rsid w:val="00A93473"/>
    <w:rsid w:val="00A96114"/>
    <w:rsid w:val="00A971B4"/>
    <w:rsid w:val="00AB59B9"/>
    <w:rsid w:val="00AC63F7"/>
    <w:rsid w:val="00AC790C"/>
    <w:rsid w:val="00AD4256"/>
    <w:rsid w:val="00AE0A3F"/>
    <w:rsid w:val="00AF40BE"/>
    <w:rsid w:val="00B03CC6"/>
    <w:rsid w:val="00B0732C"/>
    <w:rsid w:val="00B128CF"/>
    <w:rsid w:val="00B17762"/>
    <w:rsid w:val="00B43216"/>
    <w:rsid w:val="00B447FF"/>
    <w:rsid w:val="00BB1095"/>
    <w:rsid w:val="00BD0CFF"/>
    <w:rsid w:val="00BD7BF2"/>
    <w:rsid w:val="00C0454F"/>
    <w:rsid w:val="00C12AE1"/>
    <w:rsid w:val="00C14DE7"/>
    <w:rsid w:val="00C3019A"/>
    <w:rsid w:val="00C535CC"/>
    <w:rsid w:val="00C70B46"/>
    <w:rsid w:val="00C71D1E"/>
    <w:rsid w:val="00C91853"/>
    <w:rsid w:val="00C95BAD"/>
    <w:rsid w:val="00CA68FD"/>
    <w:rsid w:val="00CD45A6"/>
    <w:rsid w:val="00CD6E0B"/>
    <w:rsid w:val="00CE46BA"/>
    <w:rsid w:val="00CE4C52"/>
    <w:rsid w:val="00D05CFD"/>
    <w:rsid w:val="00D238FB"/>
    <w:rsid w:val="00D37218"/>
    <w:rsid w:val="00D405C0"/>
    <w:rsid w:val="00D41D9F"/>
    <w:rsid w:val="00D5186A"/>
    <w:rsid w:val="00D6421F"/>
    <w:rsid w:val="00D64480"/>
    <w:rsid w:val="00D803EE"/>
    <w:rsid w:val="00DC4C13"/>
    <w:rsid w:val="00DD16B0"/>
    <w:rsid w:val="00DD20CB"/>
    <w:rsid w:val="00DF78E1"/>
    <w:rsid w:val="00E0378B"/>
    <w:rsid w:val="00E16DC0"/>
    <w:rsid w:val="00E25BD0"/>
    <w:rsid w:val="00E26F95"/>
    <w:rsid w:val="00E403BF"/>
    <w:rsid w:val="00E535E6"/>
    <w:rsid w:val="00E574E8"/>
    <w:rsid w:val="00E655C4"/>
    <w:rsid w:val="00E7674F"/>
    <w:rsid w:val="00EB1680"/>
    <w:rsid w:val="00EC6AEF"/>
    <w:rsid w:val="00ED4CE0"/>
    <w:rsid w:val="00F24F4E"/>
    <w:rsid w:val="00F30C93"/>
    <w:rsid w:val="00F4387D"/>
    <w:rsid w:val="00F568EC"/>
    <w:rsid w:val="00F73421"/>
    <w:rsid w:val="00F75E72"/>
    <w:rsid w:val="00F90A9E"/>
    <w:rsid w:val="00F9543B"/>
    <w:rsid w:val="00FA105F"/>
    <w:rsid w:val="00FD42F5"/>
    <w:rsid w:val="00FE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82EA69C"/>
  <w15:docId w15:val="{AAB0C2E4-4BCA-48F3-A837-5C9A298B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99"/>
    <w:pPr>
      <w:spacing w:after="0" w:line="240" w:lineRule="auto"/>
    </w:pPr>
    <w:rPr>
      <w:rFonts w:ascii="Times New Roman" w:eastAsia="Times New Roman" w:hAnsi="Times New Roman" w:cs="Times New Roman"/>
      <w:sz w:val="24"/>
      <w:szCs w:val="20"/>
    </w:rPr>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2AB"/>
    <w:pPr>
      <w:tabs>
        <w:tab w:val="center" w:pos="4680"/>
        <w:tab w:val="right" w:pos="9360"/>
      </w:tabs>
    </w:pPr>
  </w:style>
  <w:style w:type="character" w:customStyle="1" w:styleId="HeaderChar">
    <w:name w:val="Header Char"/>
    <w:basedOn w:val="DefaultParagraphFont"/>
    <w:link w:val="Header"/>
    <w:uiPriority w:val="99"/>
    <w:rsid w:val="008B72A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B72AB"/>
    <w:pPr>
      <w:tabs>
        <w:tab w:val="center" w:pos="4680"/>
        <w:tab w:val="right" w:pos="9360"/>
      </w:tabs>
    </w:pPr>
  </w:style>
  <w:style w:type="character" w:customStyle="1" w:styleId="FooterChar">
    <w:name w:val="Footer Char"/>
    <w:basedOn w:val="DefaultParagraphFont"/>
    <w:link w:val="Footer"/>
    <w:uiPriority w:val="99"/>
    <w:rsid w:val="008B72AB"/>
    <w:rPr>
      <w:rFonts w:ascii="Times New Roman" w:eastAsia="Times New Roman" w:hAnsi="Times New Roman" w:cs="Times New Roman"/>
      <w:sz w:val="24"/>
      <w:szCs w:val="20"/>
    </w:rPr>
  </w:style>
  <w:style w:type="paragraph" w:styleId="ListParagraph">
    <w:name w:val="List Paragraph"/>
    <w:basedOn w:val="Normal"/>
    <w:uiPriority w:val="34"/>
    <w:qFormat/>
    <w:rsid w:val="00D6421F"/>
    <w:pPr>
      <w:ind w:left="720"/>
      <w:contextualSpacing/>
    </w:pPr>
  </w:style>
  <w:style w:type="character" w:styleId="Hyperlink">
    <w:name w:val="Hyperlink"/>
    <w:basedOn w:val="DefaultParagraphFont"/>
    <w:uiPriority w:val="99"/>
    <w:unhideWhenUsed/>
    <w:rsid w:val="008604D8"/>
    <w:rPr>
      <w:color w:val="0000FF" w:themeColor="hyperlink"/>
      <w:u w:val="single"/>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brittanymosb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ntact@BrittanyMos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B9CC9-34BE-4956-80D4-3BD00FF7B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blmosby</dc:creator>
  <cp:keywords/>
  <dc:description/>
  <cp:lastModifiedBy>Brittany Mosby</cp:lastModifiedBy>
  <cp:revision>2</cp:revision>
  <dcterms:created xsi:type="dcterms:W3CDTF">2023-04-17T23:32:00Z</dcterms:created>
  <dcterms:modified xsi:type="dcterms:W3CDTF">2023-04-17T23:32:00Z</dcterms:modified>
</cp:coreProperties>
</file>