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F95" w:rsidRDefault="00042F95" w:rsidP="00042F95">
      <w:pPr>
        <w:rPr>
          <w:b/>
          <w:sz w:val="24"/>
          <w:szCs w:val="24"/>
          <w:u w:val="single"/>
        </w:rPr>
      </w:pPr>
      <w:r w:rsidRPr="00A96EB1">
        <w:rPr>
          <w:b/>
          <w:sz w:val="24"/>
          <w:szCs w:val="24"/>
          <w:u w:val="single"/>
        </w:rPr>
        <w:t>Part VI</w:t>
      </w:r>
      <w:r>
        <w:rPr>
          <w:b/>
          <w:sz w:val="24"/>
          <w:szCs w:val="24"/>
          <w:u w:val="single"/>
        </w:rPr>
        <w:t>I</w:t>
      </w:r>
      <w:r w:rsidRPr="00A96EB1">
        <w:rPr>
          <w:b/>
          <w:sz w:val="24"/>
          <w:szCs w:val="24"/>
          <w:u w:val="single"/>
        </w:rPr>
        <w:t>: Chapter 7: Confidence Intervals</w:t>
      </w:r>
    </w:p>
    <w:p w:rsidR="00042F95" w:rsidRDefault="00042F95" w:rsidP="00042F9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Task 1: Use the data set to find </w:t>
      </w:r>
      <m:oMath>
        <m:acc>
          <m:acc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p</m:t>
            </m:r>
          </m:e>
        </m:acc>
      </m:oMath>
      <w:r>
        <w:rPr>
          <w:b/>
          <w:sz w:val="24"/>
          <w:szCs w:val="24"/>
        </w:rPr>
        <w:t xml:space="preserve"> for the proportion of count</w:t>
      </w:r>
      <w:r w:rsidR="00AD7B80">
        <w:rPr>
          <w:b/>
          <w:sz w:val="24"/>
          <w:szCs w:val="24"/>
        </w:rPr>
        <w:t>r</w:t>
      </w:r>
      <w:r>
        <w:rPr>
          <w:b/>
          <w:sz w:val="24"/>
          <w:szCs w:val="24"/>
        </w:rPr>
        <w:t xml:space="preserve">ies that </w:t>
      </w:r>
      <w:r w:rsidR="00AD7B80">
        <w:rPr>
          <w:b/>
          <w:sz w:val="24"/>
          <w:szCs w:val="24"/>
        </w:rPr>
        <w:t>have an average income level above the global average of $10850.</w:t>
      </w:r>
      <w:r>
        <w:rPr>
          <w:b/>
          <w:sz w:val="24"/>
          <w:szCs w:val="24"/>
        </w:rPr>
        <w:t xml:space="preserve"> To do this you will need to sort the data set </w:t>
      </w:r>
      <w:r w:rsidR="00AD7B80">
        <w:rPr>
          <w:b/>
          <w:sz w:val="24"/>
          <w:szCs w:val="24"/>
        </w:rPr>
        <w:t>for average income and count the number of countries whose average income is greater than $10850.</w:t>
      </w:r>
    </w:p>
    <w:p w:rsidR="00042F95" w:rsidRDefault="00042F95" w:rsidP="00042F9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042F95">
        <w:rPr>
          <w:b/>
          <w:sz w:val="24"/>
          <w:szCs w:val="24"/>
        </w:rPr>
        <w:t xml:space="preserve">Construct a 95% confidence interval for the proportion of </w:t>
      </w:r>
      <w:r w:rsidR="00AD7B80">
        <w:rPr>
          <w:b/>
          <w:sz w:val="24"/>
          <w:szCs w:val="24"/>
        </w:rPr>
        <w:t>countries with an average income greater than the global average income level.</w:t>
      </w:r>
    </w:p>
    <w:p w:rsidR="00042F95" w:rsidRPr="00042F95" w:rsidRDefault="00042F95" w:rsidP="00042F95">
      <w:pPr>
        <w:pStyle w:val="ListParagraph"/>
        <w:rPr>
          <w:b/>
          <w:sz w:val="24"/>
          <w:szCs w:val="24"/>
        </w:rPr>
      </w:pPr>
    </w:p>
    <w:p w:rsidR="00042F95" w:rsidRDefault="00042F95" w:rsidP="00042F9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042F95">
        <w:rPr>
          <w:b/>
          <w:sz w:val="24"/>
          <w:szCs w:val="24"/>
        </w:rPr>
        <w:t>Describe what requirements must be met for this interval to be valid and whether you think that this data set meets these requirements</w:t>
      </w:r>
      <w:r>
        <w:rPr>
          <w:b/>
          <w:sz w:val="24"/>
          <w:szCs w:val="24"/>
        </w:rPr>
        <w:t>.</w:t>
      </w:r>
    </w:p>
    <w:p w:rsidR="00042F95" w:rsidRPr="00042F95" w:rsidRDefault="00042F95" w:rsidP="00042F95">
      <w:pPr>
        <w:pStyle w:val="ListParagraph"/>
        <w:rPr>
          <w:b/>
          <w:sz w:val="24"/>
          <w:szCs w:val="24"/>
        </w:rPr>
      </w:pPr>
    </w:p>
    <w:p w:rsidR="00042F95" w:rsidRDefault="00042F95" w:rsidP="00042F9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042F95">
        <w:rPr>
          <w:b/>
          <w:sz w:val="24"/>
          <w:szCs w:val="24"/>
        </w:rPr>
        <w:t>Interpret the meaning of the confidence interval in words.</w:t>
      </w:r>
    </w:p>
    <w:p w:rsidR="00042F95" w:rsidRPr="00042F95" w:rsidRDefault="00042F95" w:rsidP="00042F95">
      <w:pPr>
        <w:pStyle w:val="ListParagraph"/>
        <w:rPr>
          <w:b/>
          <w:sz w:val="24"/>
          <w:szCs w:val="24"/>
        </w:rPr>
      </w:pPr>
    </w:p>
    <w:p w:rsidR="00042F95" w:rsidRDefault="00042F95" w:rsidP="00042F9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Task 2: Repeat the confidence interval procedure for 80% confidence, 90% confidence, 98% confidence and 99% confidence.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72"/>
        <w:gridCol w:w="3273"/>
        <w:gridCol w:w="2805"/>
      </w:tblGrid>
      <w:tr w:rsidR="00042F95" w:rsidTr="004B0139">
        <w:tc>
          <w:tcPr>
            <w:tcW w:w="3272" w:type="dxa"/>
          </w:tcPr>
          <w:p w:rsidR="00042F95" w:rsidRDefault="00042F95" w:rsidP="004B013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Confidence Level</w:t>
            </w:r>
          </w:p>
        </w:tc>
        <w:tc>
          <w:tcPr>
            <w:tcW w:w="3273" w:type="dxa"/>
          </w:tcPr>
          <w:p w:rsidR="00042F95" w:rsidRDefault="00042F95" w:rsidP="004B013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Confidence Interval</w:t>
            </w:r>
          </w:p>
        </w:tc>
        <w:tc>
          <w:tcPr>
            <w:tcW w:w="2805" w:type="dxa"/>
          </w:tcPr>
          <w:p w:rsidR="00042F95" w:rsidRDefault="00042F95" w:rsidP="004B013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Margin of Error</w:t>
            </w:r>
          </w:p>
        </w:tc>
      </w:tr>
      <w:tr w:rsidR="00042F95" w:rsidTr="004B0139">
        <w:tc>
          <w:tcPr>
            <w:tcW w:w="3272" w:type="dxa"/>
          </w:tcPr>
          <w:p w:rsidR="00042F95" w:rsidRDefault="00042F95" w:rsidP="004B013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80%</w:t>
            </w:r>
          </w:p>
        </w:tc>
        <w:tc>
          <w:tcPr>
            <w:tcW w:w="3273" w:type="dxa"/>
          </w:tcPr>
          <w:p w:rsidR="00042F95" w:rsidRDefault="00042F95" w:rsidP="004B0139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05" w:type="dxa"/>
          </w:tcPr>
          <w:p w:rsidR="00042F95" w:rsidRDefault="00042F95" w:rsidP="004B0139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042F95" w:rsidTr="004B0139">
        <w:tc>
          <w:tcPr>
            <w:tcW w:w="3272" w:type="dxa"/>
          </w:tcPr>
          <w:p w:rsidR="00042F95" w:rsidRDefault="00042F95" w:rsidP="004B013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90%</w:t>
            </w:r>
          </w:p>
        </w:tc>
        <w:tc>
          <w:tcPr>
            <w:tcW w:w="3273" w:type="dxa"/>
          </w:tcPr>
          <w:p w:rsidR="00042F95" w:rsidRDefault="00042F95" w:rsidP="004B0139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05" w:type="dxa"/>
          </w:tcPr>
          <w:p w:rsidR="00042F95" w:rsidRDefault="00042F95" w:rsidP="004B0139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042F95" w:rsidTr="004B0139">
        <w:tc>
          <w:tcPr>
            <w:tcW w:w="3272" w:type="dxa"/>
          </w:tcPr>
          <w:p w:rsidR="00042F95" w:rsidRDefault="00042F95" w:rsidP="004B013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95%</w:t>
            </w:r>
          </w:p>
        </w:tc>
        <w:tc>
          <w:tcPr>
            <w:tcW w:w="3273" w:type="dxa"/>
          </w:tcPr>
          <w:p w:rsidR="00042F95" w:rsidRDefault="00042F95" w:rsidP="004B0139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05" w:type="dxa"/>
          </w:tcPr>
          <w:p w:rsidR="00042F95" w:rsidRDefault="00042F95" w:rsidP="004B0139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042F95" w:rsidTr="004B0139">
        <w:tc>
          <w:tcPr>
            <w:tcW w:w="3272" w:type="dxa"/>
          </w:tcPr>
          <w:p w:rsidR="00042F95" w:rsidRDefault="00042F95" w:rsidP="004B013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98%</w:t>
            </w:r>
          </w:p>
        </w:tc>
        <w:tc>
          <w:tcPr>
            <w:tcW w:w="3273" w:type="dxa"/>
          </w:tcPr>
          <w:p w:rsidR="00042F95" w:rsidRDefault="00042F95" w:rsidP="004B0139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05" w:type="dxa"/>
          </w:tcPr>
          <w:p w:rsidR="00042F95" w:rsidRDefault="00042F95" w:rsidP="004B0139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042F95" w:rsidTr="004B0139">
        <w:tc>
          <w:tcPr>
            <w:tcW w:w="3272" w:type="dxa"/>
          </w:tcPr>
          <w:p w:rsidR="00042F95" w:rsidRDefault="00042F95" w:rsidP="004B013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99%</w:t>
            </w:r>
          </w:p>
        </w:tc>
        <w:tc>
          <w:tcPr>
            <w:tcW w:w="3273" w:type="dxa"/>
          </w:tcPr>
          <w:p w:rsidR="00042F95" w:rsidRDefault="00042F95" w:rsidP="004B0139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05" w:type="dxa"/>
          </w:tcPr>
          <w:p w:rsidR="00042F95" w:rsidRDefault="00042F95" w:rsidP="004B0139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042F95" w:rsidRDefault="00042F95" w:rsidP="00042F95">
      <w:pPr>
        <w:rPr>
          <w:b/>
          <w:sz w:val="24"/>
          <w:szCs w:val="24"/>
        </w:rPr>
      </w:pPr>
    </w:p>
    <w:p w:rsidR="00042F95" w:rsidRDefault="00042F95" w:rsidP="00042F95">
      <w:pPr>
        <w:rPr>
          <w:b/>
          <w:sz w:val="24"/>
          <w:szCs w:val="24"/>
        </w:rPr>
      </w:pPr>
      <w:r>
        <w:rPr>
          <w:b/>
          <w:sz w:val="24"/>
          <w:szCs w:val="24"/>
        </w:rPr>
        <w:t>Be examining this table, answer the following questions.</w:t>
      </w:r>
    </w:p>
    <w:p w:rsidR="00042F95" w:rsidRDefault="00042F95" w:rsidP="00042F95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As the confidence level increases, what happens to the width of the interval?</w:t>
      </w:r>
    </w:p>
    <w:p w:rsidR="00042F95" w:rsidRDefault="00042F95" w:rsidP="00042F95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As the confidence level increases, what happens to the margin of error?</w:t>
      </w:r>
    </w:p>
    <w:p w:rsidR="00042F95" w:rsidRDefault="00042F95" w:rsidP="00042F95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If the confidence level were 92%, would the confidence interval estimate be more or less precise than for 95%?</w:t>
      </w:r>
    </w:p>
    <w:p w:rsidR="00042F95" w:rsidRDefault="00042F95" w:rsidP="00042F95">
      <w:pPr>
        <w:pStyle w:val="ListParagraph"/>
        <w:ind w:left="1120"/>
        <w:rPr>
          <w:b/>
          <w:sz w:val="24"/>
          <w:szCs w:val="24"/>
        </w:rPr>
      </w:pPr>
    </w:p>
    <w:p w:rsidR="009725C8" w:rsidRDefault="009725C8" w:rsidP="00042F95">
      <w:pPr>
        <w:pStyle w:val="ListParagraph"/>
        <w:ind w:left="1120"/>
        <w:rPr>
          <w:b/>
          <w:sz w:val="24"/>
          <w:szCs w:val="24"/>
        </w:rPr>
      </w:pPr>
    </w:p>
    <w:p w:rsidR="00AD7B80" w:rsidRPr="00100C85" w:rsidRDefault="00AD7B80" w:rsidP="00042F95">
      <w:pPr>
        <w:pStyle w:val="ListParagraph"/>
        <w:ind w:left="1120"/>
        <w:rPr>
          <w:b/>
          <w:sz w:val="24"/>
          <w:szCs w:val="24"/>
        </w:rPr>
      </w:pPr>
    </w:p>
    <w:p w:rsidR="009725C8" w:rsidRDefault="00042F95" w:rsidP="00042F95">
      <w:pPr>
        <w:rPr>
          <w:b/>
          <w:sz w:val="24"/>
          <w:szCs w:val="24"/>
        </w:rPr>
      </w:pPr>
      <w:r w:rsidRPr="00042F95">
        <w:rPr>
          <w:b/>
          <w:sz w:val="24"/>
          <w:szCs w:val="24"/>
        </w:rPr>
        <w:lastRenderedPageBreak/>
        <w:t>Task 3:</w:t>
      </w:r>
    </w:p>
    <w:p w:rsidR="009725C8" w:rsidRDefault="00042F95" w:rsidP="001272EE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9725C8">
        <w:rPr>
          <w:b/>
          <w:sz w:val="24"/>
          <w:szCs w:val="24"/>
        </w:rPr>
        <w:t xml:space="preserve">Use the data set to find a 95% confidence interval for the mean </w:t>
      </w:r>
      <w:r w:rsidR="00AD7B80">
        <w:rPr>
          <w:b/>
          <w:sz w:val="24"/>
          <w:szCs w:val="24"/>
        </w:rPr>
        <w:t>amount of money per capita spent on health care</w:t>
      </w:r>
      <w:r w:rsidRPr="009725C8">
        <w:rPr>
          <w:b/>
          <w:sz w:val="24"/>
          <w:szCs w:val="24"/>
        </w:rPr>
        <w:t>.</w:t>
      </w:r>
      <w:r w:rsidR="00AD7B80">
        <w:rPr>
          <w:b/>
          <w:sz w:val="24"/>
          <w:szCs w:val="24"/>
        </w:rPr>
        <w:t xml:space="preserve"> To do this you will need to find the mean and standard distribution of the column</w:t>
      </w:r>
      <w:r w:rsidR="00C41A14">
        <w:rPr>
          <w:b/>
          <w:sz w:val="24"/>
          <w:szCs w:val="24"/>
        </w:rPr>
        <w:t xml:space="preserve"> “health expenditure per capita”.</w:t>
      </w:r>
    </w:p>
    <w:p w:rsidR="001272EE" w:rsidRPr="001272EE" w:rsidRDefault="001272EE" w:rsidP="001272EE">
      <w:pPr>
        <w:ind w:left="420"/>
        <w:rPr>
          <w:b/>
          <w:sz w:val="24"/>
          <w:szCs w:val="24"/>
        </w:rPr>
      </w:pPr>
    </w:p>
    <w:p w:rsidR="001272EE" w:rsidRDefault="00042F95" w:rsidP="001272EE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9725C8">
        <w:rPr>
          <w:b/>
          <w:sz w:val="24"/>
          <w:szCs w:val="24"/>
        </w:rPr>
        <w:t>Describe what requirements must be met for this interval to be valid and whether you think that this data set meets these requirements.</w:t>
      </w:r>
    </w:p>
    <w:p w:rsidR="001272EE" w:rsidRPr="001272EE" w:rsidRDefault="001272EE" w:rsidP="001272EE">
      <w:pPr>
        <w:rPr>
          <w:b/>
          <w:sz w:val="24"/>
          <w:szCs w:val="24"/>
        </w:rPr>
      </w:pPr>
    </w:p>
    <w:p w:rsidR="00042F95" w:rsidRDefault="00042F95" w:rsidP="009725C8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9725C8">
        <w:rPr>
          <w:b/>
          <w:sz w:val="24"/>
          <w:szCs w:val="24"/>
        </w:rPr>
        <w:t>Interpret the meaning of the confidence interval in words.</w:t>
      </w:r>
    </w:p>
    <w:p w:rsidR="00753104" w:rsidRPr="00753104" w:rsidRDefault="00753104" w:rsidP="00753104">
      <w:pPr>
        <w:pStyle w:val="ListParagraph"/>
        <w:rPr>
          <w:b/>
          <w:sz w:val="24"/>
          <w:szCs w:val="24"/>
        </w:rPr>
      </w:pPr>
    </w:p>
    <w:p w:rsidR="00753104" w:rsidRPr="00753104" w:rsidRDefault="00753104" w:rsidP="00C41A14">
      <w:pPr>
        <w:pStyle w:val="ListParagraph"/>
        <w:rPr>
          <w:b/>
          <w:sz w:val="24"/>
          <w:szCs w:val="24"/>
        </w:rPr>
      </w:pPr>
      <w:bookmarkStart w:id="0" w:name="_GoBack"/>
      <w:bookmarkEnd w:id="0"/>
    </w:p>
    <w:sectPr w:rsidR="00753104" w:rsidRPr="00753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F4357"/>
    <w:multiLevelType w:val="hybridMultilevel"/>
    <w:tmpl w:val="1D3CD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05C58"/>
    <w:multiLevelType w:val="hybridMultilevel"/>
    <w:tmpl w:val="E58A79C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62FA6C61"/>
    <w:multiLevelType w:val="hybridMultilevel"/>
    <w:tmpl w:val="2856D66E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6D546FAD"/>
    <w:multiLevelType w:val="hybridMultilevel"/>
    <w:tmpl w:val="217CD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D82411"/>
    <w:multiLevelType w:val="hybridMultilevel"/>
    <w:tmpl w:val="1790674C"/>
    <w:lvl w:ilvl="0" w:tplc="04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F95"/>
    <w:rsid w:val="00001161"/>
    <w:rsid w:val="00042F95"/>
    <w:rsid w:val="001272EE"/>
    <w:rsid w:val="00273074"/>
    <w:rsid w:val="006911B6"/>
    <w:rsid w:val="00753104"/>
    <w:rsid w:val="009725C8"/>
    <w:rsid w:val="00A15FFD"/>
    <w:rsid w:val="00AD7B80"/>
    <w:rsid w:val="00C41A14"/>
    <w:rsid w:val="00C87C68"/>
    <w:rsid w:val="00FB0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EC1FF"/>
  <w15:chartTrackingRefBased/>
  <w15:docId w15:val="{D7BBBB37-97DF-4003-9EBC-3AED91F16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2F95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F95"/>
    <w:pPr>
      <w:ind w:left="720"/>
      <w:contextualSpacing/>
    </w:pPr>
  </w:style>
  <w:style w:type="table" w:styleId="TableGrid">
    <w:name w:val="Table Grid"/>
    <w:basedOn w:val="TableNormal"/>
    <w:uiPriority w:val="59"/>
    <w:rsid w:val="00042F95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Sue Dobbyn</cp:lastModifiedBy>
  <cp:revision>2</cp:revision>
  <dcterms:created xsi:type="dcterms:W3CDTF">2017-09-05T18:48:00Z</dcterms:created>
  <dcterms:modified xsi:type="dcterms:W3CDTF">2017-09-05T18:48:00Z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_HTMLDest">
    <vt:lpwstr>C:\Users\admin\Desktop\Capstone Appalachia\Appalachia Part VII.htm</vt:lpwstr>
  </property>
  <property fmtid="{D5CDD505-2E9C-101B-9397-08002B2CF9AE}" pid="3" name="MP_MathMLTarget">
    <vt:lpwstr>HTML+MathML</vt:lpwstr>
  </property>
  <property fmtid="{D5CDD505-2E9C-101B-9397-08002B2CF9AE}" pid="4" name="MP_OpenInBrowser">
    <vt:bool>true</vt:bool>
  </property>
  <property fmtid="{D5CDD505-2E9C-101B-9397-08002B2CF9AE}" pid="5" name="MP_UseMathML">
    <vt:bool>true</vt:bool>
  </property>
  <property fmtid="{D5CDD505-2E9C-101B-9397-08002B2CF9AE}" pid="6" name="MP_MathZoom">
    <vt:bool>true</vt:bool>
  </property>
  <property fmtid="{D5CDD505-2E9C-101B-9397-08002B2CF9AE}" pid="7" name="MP_IEOnly">
    <vt:bool>false</vt:bool>
  </property>
</Properties>
</file>