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0" w:name="_gjdgxs" w:colFirst="0" w:colLast="0"/>
      <w:bookmarkEnd w:id="0"/>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77777777" w:rsidR="00A5566E" w:rsidRPr="00A5566E" w:rsidRDefault="00A5566E" w:rsidP="00A5566E">
      <w:pPr>
        <w:pBdr>
          <w:top w:val="nil"/>
          <w:left w:val="nil"/>
          <w:bottom w:val="nil"/>
          <w:right w:val="nil"/>
          <w:between w:val="nil"/>
        </w:pBdr>
        <w:spacing w:after="200" w:line="240" w:lineRule="auto"/>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commentRangeStart w:id="1"/>
      <w:r>
        <w:rPr>
          <w:rFonts w:ascii="Garamond" w:eastAsia="Garamond" w:hAnsi="Garamond" w:cstheme="majorHAnsi"/>
          <w:sz w:val="24"/>
          <w:szCs w:val="24"/>
        </w:rPr>
        <w:t>are used for</w:t>
      </w:r>
      <w:commentRangeEnd w:id="1"/>
      <w:r>
        <w:commentReference w:id="1"/>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commentRangeStart w:id="2"/>
      <w:commentRangeStart w:id="3"/>
      <w:r>
        <w:rPr>
          <w:rFonts w:ascii="Garamond" w:eastAsia="Garamond" w:hAnsi="Garamond" w:cstheme="majorHAnsi"/>
          <w:sz w:val="24"/>
          <w:szCs w:val="24"/>
        </w:rPr>
        <w:t>Efficiency is also an important characteristic</w:t>
      </w:r>
      <w:commentRangeEnd w:id="2"/>
      <w:r>
        <w:commentReference w:id="2"/>
      </w:r>
      <w:commentRangeEnd w:id="3"/>
      <w:r w:rsidR="00CE31AF">
        <w:rPr>
          <w:rStyle w:val="CommentReference"/>
        </w:rPr>
        <w:commentReference w:id="3"/>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318A0131"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5"/>
      <w:r>
        <w:rPr>
          <w:rFonts w:ascii="Garamond" w:eastAsia="Garamond" w:hAnsi="Garamond" w:cstheme="majorHAnsi"/>
          <w:sz w:val="24"/>
          <w:szCs w:val="24"/>
        </w:rPr>
        <w:t>National Water Model (NWM</w:t>
      </w:r>
      <w:commentRangeEnd w:id="5"/>
      <w:r>
        <w:rPr>
          <w:rStyle w:val="CommentReference"/>
        </w:rPr>
        <w:commentReference w:id="5"/>
      </w:r>
      <w:r>
        <w:rPr>
          <w:rFonts w:ascii="Garamond" w:eastAsia="Garamond" w:hAnsi="Garamond" w:cstheme="majorHAnsi"/>
          <w:sz w:val="24"/>
          <w:szCs w:val="24"/>
        </w:rPr>
        <w:t>) focuses on hydrologic predictions at the continental scale and uses grids of coarse resolution</w:t>
      </w:r>
      <w:r w:rsidR="00C54A65">
        <w:rPr>
          <w:rFonts w:ascii="Garamond" w:eastAsia="Garamond" w:hAnsi="Garamond" w:cstheme="majorHAnsi"/>
          <w:sz w:val="24"/>
          <w:szCs w:val="24"/>
        </w:rPr>
        <w:t xml:space="preserve"> of</w:t>
      </w:r>
      <w:r>
        <w:rPr>
          <w:rFonts w:ascii="Garamond" w:eastAsia="Garamond" w:hAnsi="Garamond" w:cstheme="majorHAnsi"/>
          <w:sz w:val="24"/>
          <w:szCs w:val="24"/>
        </w:rPr>
        <w:t xml:space="preserve"> </w:t>
      </w:r>
      <w:commentRangeStart w:id="6"/>
      <w:r>
        <w:rPr>
          <w:rFonts w:ascii="Garamond" w:eastAsia="Garamond" w:hAnsi="Garamond" w:cstheme="majorHAnsi"/>
          <w:sz w:val="24"/>
          <w:szCs w:val="24"/>
        </w:rPr>
        <w:t>1 km for land surface and 250 m for routing</w:t>
      </w:r>
      <w:commentRangeEnd w:id="6"/>
      <w:r>
        <w:commentReference w:id="6"/>
      </w:r>
      <w:r>
        <w:rPr>
          <w:rFonts w:ascii="Garamond" w:eastAsia="Garamond" w:hAnsi="Garamond" w:cstheme="majorHAnsi"/>
          <w:sz w:val="24"/>
          <w:szCs w:val="24"/>
        </w:rPr>
        <w:t>. Such resolution is in most cases too high to effectively model headwaters catchments, which represent the majority of modeled catchment.</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16F1B99B" w14:textId="77777777" w:rsidR="009C6A68" w:rsidRDefault="00610F2D">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7"/>
      <w:commentRangeEnd w:id="7"/>
      <w:r>
        <w:commentReference w:id="7"/>
      </w:r>
    </w:p>
    <w:p w14:paraId="526A2E3F" w14:textId="77777777" w:rsidR="009C6A68" w:rsidRDefault="009C6A68">
      <w:pPr>
        <w:spacing w:line="240" w:lineRule="auto"/>
        <w:jc w:val="both"/>
        <w:rPr>
          <w:rFonts w:ascii="Garamond" w:eastAsia="Garamond" w:hAnsi="Garamond" w:cstheme="majorHAnsi"/>
          <w:sz w:val="24"/>
          <w:szCs w:val="24"/>
        </w:rPr>
      </w:pPr>
    </w:p>
    <w:p w14:paraId="4E7D16E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8"/>
      <w:r>
        <w:rPr>
          <w:rFonts w:ascii="Garamond" w:eastAsia="Garamond" w:hAnsi="Garamond" w:cstheme="majorHAnsi"/>
          <w:sz w:val="24"/>
          <w:szCs w:val="24"/>
        </w:rPr>
        <w:t xml:space="preserve">R package implementing TOPMODEL </w:t>
      </w:r>
      <w:commentRangeEnd w:id="8"/>
      <w:r>
        <w:commentReference w:id="8"/>
      </w:r>
      <w:r>
        <w:rPr>
          <w:rFonts w:ascii="Garamond" w:eastAsia="Garamond" w:hAnsi="Garamond" w:cstheme="majorHAnsi"/>
          <w:sz w:val="24"/>
          <w:szCs w:val="24"/>
        </w:rPr>
        <w:t xml:space="preserve">as the first parsimonious model. We developed a second parsimonious model (in the following, alternate model) based on </w:t>
      </w:r>
      <w:commentRangeStart w:id="9"/>
      <w:r>
        <w:rPr>
          <w:rFonts w:ascii="Garamond" w:eastAsia="Garamond" w:hAnsi="Garamond" w:cstheme="majorHAnsi"/>
          <w:sz w:val="24"/>
          <w:szCs w:val="24"/>
        </w:rPr>
        <w:t xml:space="preserve">the three </w:t>
      </w:r>
      <w:proofErr w:type="gramStart"/>
      <w:r>
        <w:rPr>
          <w:rFonts w:ascii="Garamond" w:eastAsia="Garamond" w:hAnsi="Garamond" w:cstheme="majorHAnsi"/>
          <w:sz w:val="24"/>
          <w:szCs w:val="24"/>
        </w:rPr>
        <w:t>primary</w:t>
      </w:r>
      <w:commentRangeEnd w:id="9"/>
      <w:proofErr w:type="gramEnd"/>
      <w:r>
        <w:commentReference w:id="9"/>
      </w:r>
      <w:r>
        <w:rPr>
          <w:rFonts w:ascii="Garamond" w:eastAsia="Garamond" w:hAnsi="Garamond" w:cstheme="majorHAnsi"/>
          <w:sz w:val="24"/>
          <w:szCs w:val="24"/>
        </w:rPr>
        <w:t xml:space="preserve"> TOPMODEL 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0E8F9A20"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w:t>
      </w:r>
      <w:r w:rsidR="00D8351C">
        <w:rPr>
          <w:rFonts w:ascii="Garamond" w:eastAsia="Garamond" w:hAnsi="Garamond" w:cstheme="majorHAnsi"/>
          <w:sz w:val="24"/>
          <w:szCs w:val="24"/>
        </w:rPr>
        <w:t>R package</w:t>
      </w:r>
      <w:r>
        <w:rPr>
          <w:rFonts w:ascii="Garamond" w:eastAsia="Garamond" w:hAnsi="Garamond" w:cstheme="majorHAnsi"/>
          <w:sz w:val="24"/>
          <w:szCs w:val="24"/>
        </w:rPr>
        <w:t xml:space="preserve">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0EB29C8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D8351C">
        <w:rPr>
          <w:rFonts w:ascii="Garamond" w:eastAsia="Garamond" w:hAnsi="Garamond" w:cstheme="majorHAnsi"/>
          <w:sz w:val="24"/>
          <w:szCs w:val="24"/>
        </w:rPr>
        <w:t xml:space="preserve">a </w:t>
      </w:r>
      <w:r>
        <w:rPr>
          <w:rFonts w:ascii="Garamond" w:eastAsia="Garamond" w:hAnsi="Garamond" w:cstheme="majorHAnsi"/>
          <w:sz w:val="24"/>
          <w:szCs w:val="24"/>
        </w:rPr>
        <w:t xml:space="preserve">GitHub repository, whose link is provided at the end of this report. </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666F354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Hydrological processes in a catchment are dynamic and heterogeneous. Because of the lack of measurements of state variables and catchment attributes</w:t>
      </w:r>
      <w:r w:rsidR="002771CD">
        <w:rPr>
          <w:rFonts w:ascii="Garamond" w:eastAsia="Garamond" w:hAnsi="Garamond" w:cstheme="majorHAnsi"/>
          <w:sz w:val="24"/>
          <w:szCs w:val="24"/>
        </w:rPr>
        <w:t xml:space="preserve">, a </w:t>
      </w:r>
      <w:r>
        <w:rPr>
          <w:rFonts w:ascii="Garamond" w:eastAsia="Garamond" w:hAnsi="Garamond" w:cstheme="majorHAnsi"/>
          <w:sz w:val="24"/>
          <w:szCs w:val="24"/>
        </w:rPr>
        <w:t xml:space="preserve">minimal number of parameters representing hydrological connectivity and catchment response </w:t>
      </w:r>
      <w:commentRangeStart w:id="10"/>
      <w:r>
        <w:rPr>
          <w:rFonts w:ascii="Garamond" w:eastAsia="Garamond" w:hAnsi="Garamond" w:cstheme="majorHAnsi"/>
          <w:sz w:val="24"/>
          <w:szCs w:val="24"/>
        </w:rPr>
        <w:t>are</w:t>
      </w:r>
      <w:commentRangeEnd w:id="10"/>
      <w:r>
        <w:commentReference w:id="10"/>
      </w:r>
      <w:r>
        <w:rPr>
          <w:rFonts w:ascii="Garamond" w:eastAsia="Garamond" w:hAnsi="Garamond" w:cstheme="majorHAnsi"/>
          <w:sz w:val="24"/>
          <w:szCs w:val="24"/>
        </w:rPr>
        <w:t xml:space="preserve"> </w:t>
      </w:r>
      <w:r w:rsidR="002771CD">
        <w:rPr>
          <w:rFonts w:ascii="Garamond" w:eastAsia="Garamond" w:hAnsi="Garamond" w:cstheme="majorHAnsi"/>
          <w:sz w:val="24"/>
          <w:szCs w:val="24"/>
        </w:rPr>
        <w:t>preferred</w:t>
      </w:r>
      <w:r>
        <w:rPr>
          <w:rFonts w:ascii="Garamond" w:eastAsia="Garamond" w:hAnsi="Garamond" w:cstheme="majorHAnsi"/>
          <w:sz w:val="24"/>
          <w:szCs w:val="24"/>
        </w:rPr>
        <w:t>.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427D9645" w:rsidR="009C6A68" w:rsidRDefault="00610F2D">
      <w:pPr>
        <w:spacing w:line="240" w:lineRule="auto"/>
        <w:jc w:val="both"/>
      </w:pPr>
      <w:r>
        <w:rPr>
          <w:rFonts w:ascii="Garamond" w:eastAsia="Garamond" w:hAnsi="Garamond" w:cstheme="majorHAnsi"/>
          <w:sz w:val="24"/>
          <w:szCs w:val="24"/>
        </w:rPr>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123135">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3E6C60">
        <w:rPr>
          <w:rFonts w:ascii="Garamond" w:eastAsia="Garamond" w:hAnsi="Garamond" w:cstheme="majorHAnsi"/>
          <w:noProof/>
          <w:sz w:val="24"/>
          <w:szCs w:val="24"/>
        </w:rPr>
        <w:t>[1]</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&lt;EndNote&gt;&lt;Cite&gt;&lt;Author&gt;Nourani&lt;/Author&gt;&lt;Year&gt;2011&lt;/Year&gt;&lt;RecNum&gt;2&lt;/RecNum&gt;&lt;DisplayText&gt;&lt;style size="12"&gt;[2]&lt;/style&gt;&lt;/DisplayText&gt;&lt;record&gt;&lt;rec-number&gt;2&lt;/rec-number&gt;&lt;foreign-keys&gt;&lt;key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[2]</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5BA2FE29"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40341D">
        <w:rPr>
          <w:rFonts w:ascii="Garamond" w:eastAsia="Garamond" w:hAnsi="Garamond" w:cstheme="majorHAnsi"/>
          <w:sz w:val="24"/>
          <w:szCs w:val="24"/>
        </w:rPr>
        <w:instrText xml:space="preserve"> ADDIN EN.CITE &lt;EndNote&gt;&lt;Cite&gt;&lt;Author&gt;Beven&lt;/Author&gt;&lt;Year&gt;1995&lt;/Year&gt;&lt;RecNum&gt;1&lt;/RecNum&gt;&lt;DisplayText&gt;&lt;style size="12"&gt;[1]&lt;/style&gt;&lt;/DisplayText&gt;&lt;record&gt;&lt;rec-number&gt;1&lt;/rec-number&gt;&lt;foreign-keys&gt;&lt;key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40341D">
        <w:rPr>
          <w:rFonts w:ascii="Garamond" w:eastAsia="Garamond" w:hAnsi="Garamond" w:cstheme="majorHAnsi"/>
          <w:noProof/>
          <w:sz w:val="24"/>
          <w:szCs w:val="24"/>
        </w:rPr>
        <w:t>[1]</w:t>
      </w:r>
      <w:r w:rsidR="0040341D">
        <w:rPr>
          <w:rFonts w:ascii="Garamond" w:eastAsia="Garamond" w:hAnsi="Garamond" w:cstheme="majorHAnsi"/>
          <w:sz w:val="24"/>
          <w:szCs w:val="24"/>
        </w:rPr>
        <w:fldChar w:fldCharType="end"/>
      </w:r>
      <w:r>
        <w:rPr>
          <w:rFonts w:ascii="Garamond" w:eastAsia="Garamond" w:hAnsi="Garamond" w:cstheme="majorHAnsi"/>
          <w:sz w:val="24"/>
          <w:szCs w:val="24"/>
        </w:rPr>
        <w:t>: (1) steady-state condition for a saturated zone, (2) local hydraulic gradient of a saturated zone approximated by the local surface topographic slope, tan β, (3) an exponential decay function of transmissivity with depth (or equivalently 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8D5335">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8D5335">
        <w:rPr>
          <w:rFonts w:ascii="Garamond" w:eastAsia="Garamond" w:hAnsi="Garamond" w:cstheme="majorHAnsi"/>
          <w:noProof/>
          <w:sz w:val="24"/>
          <w:szCs w:val="24"/>
        </w:rPr>
        <w:t>[3]</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67E0C894"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&lt;EndNote&gt;&lt;Cite&gt;&lt;Author&gt;Niu&lt;/Author&gt;&lt;Year&gt;2005&lt;/Year&gt;&lt;RecNum&gt;4&lt;/RecNum&gt;&lt;DisplayText&gt;&lt;style size="12"&gt;[4]&lt;/style&gt;&lt;/DisplayText&gt;&lt;record&gt;&lt;rec-number&gt;4&lt;/rec-number&gt;&lt;foreign-keys&gt;&lt;key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Yue&lt;/author&gt;&lt;author&gt;Yang, Zong</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005AD2">
        <w:rPr>
          <w:rFonts w:ascii="Times New Roman" w:eastAsia="Garamond" w:hAnsi="Times New Roman" w:cs="Times New Roman"/>
          <w:sz w:val="24"/>
          <w:szCs w:val="24"/>
        </w:rPr>
        <w:instrText>‐</w:instrText>
      </w:r>
      <w:r w:rsidR="00005AD2">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[4]</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&lt;EndNote&gt;&lt;Cite&gt;&lt;Author&gt;Gedney&lt;/Author&gt;&lt;Year&gt;2003&lt;/Year&gt;&lt;RecNum&gt;5&lt;/RecNum&gt;&lt;DisplayText&gt;&lt;style size="12"&gt;[5]&lt;/style&gt;&lt;/DisplayText&gt;&lt;record&gt;&lt;rec-number&gt;5&lt;/rec-number&gt;&lt;foreign-keys&gt;&lt;key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4BFFA150"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for once, a daily time step </w:t>
      </w:r>
      <w:r w:rsidR="00980B36">
        <w:rPr>
          <w:rFonts w:ascii="Garamond" w:eastAsia="Garamond" w:hAnsi="Garamond" w:cstheme="majorHAnsi"/>
          <w:sz w:val="24"/>
          <w:szCs w:val="24"/>
        </w:rPr>
        <w:t xml:space="preserve">cannot capture </w:t>
      </w:r>
      <w:r>
        <w:commentReference w:id="11"/>
      </w:r>
      <w:r w:rsidR="00980B36">
        <w:rPr>
          <w:rFonts w:ascii="Garamond" w:eastAsia="Garamond" w:hAnsi="Garamond" w:cstheme="majorHAnsi"/>
          <w:sz w:val="24"/>
          <w:szCs w:val="24"/>
        </w:rPr>
        <w:t>the dynamics of small catchments that has time on the orders of hours</w:t>
      </w:r>
      <w:r>
        <w:rPr>
          <w:rFonts w:ascii="Garamond" w:eastAsia="Garamond" w:hAnsi="Garamond" w:cstheme="majorHAnsi"/>
          <w:sz w:val="24"/>
          <w:szCs w:val="24"/>
        </w:rPr>
        <w:t>, and on the other side flow routing is not computationally efficient at hourly time step for small catchments.</w:t>
      </w:r>
    </w:p>
    <w:p w14:paraId="3D130373" w14:textId="77777777" w:rsidR="009C6A68" w:rsidRDefault="009C6A68">
      <w:pPr>
        <w:spacing w:line="240" w:lineRule="auto"/>
        <w:jc w:val="both"/>
        <w:rPr>
          <w:rFonts w:ascii="Garamond" w:eastAsia="Garamond" w:hAnsi="Garamond" w:cstheme="majorHAnsi"/>
          <w:sz w:val="24"/>
          <w:szCs w:val="24"/>
        </w:rPr>
      </w:pPr>
    </w:p>
    <w:p w14:paraId="1D782234"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12"/>
      <w:r>
        <w:rPr>
          <w:rFonts w:ascii="Garamond" w:eastAsia="Garamond" w:hAnsi="Garamond" w:cstheme="majorHAnsi"/>
          <w:sz w:val="24"/>
          <w:szCs w:val="24"/>
        </w:rPr>
        <w:t>alternate</w:t>
      </w:r>
      <w:commentRangeEnd w:id="12"/>
      <w:r>
        <w:commentReference w:id="12"/>
      </w:r>
      <w:r>
        <w:rPr>
          <w:rFonts w:ascii="Garamond" w:eastAsia="Garamond" w:hAnsi="Garamond" w:cstheme="majorHAnsi"/>
          <w:sz w:val="24"/>
          <w:szCs w:val="24"/>
        </w:rPr>
        <w:t xml:space="preserve"> TOPMODEL-based model we developed that incorporates soil parameters. Simulated hydrographs are then compared to the observed to evaluate the performance and the weaknesses of models.</w:t>
      </w:r>
    </w:p>
    <w:p w14:paraId="22CF5D67" w14:textId="67622E1E" w:rsidR="009C6A68" w:rsidRDefault="009C6A68">
      <w:pPr>
        <w:rPr>
          <w:rFonts w:ascii="Garamond" w:eastAsia="Garamond" w:hAnsi="Garamond" w:cstheme="majorHAnsi"/>
          <w:i/>
          <w:sz w:val="24"/>
          <w:szCs w:val="24"/>
        </w:rPr>
      </w:pP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5872659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005AD2">
        <w:rPr>
          <w:rFonts w:ascii="Garamond" w:eastAsia="Garamond" w:hAnsi="Garamond" w:cstheme="majorHAnsi"/>
          <w:sz w:val="24"/>
          <w:szCs w:val="24"/>
        </w:rPr>
        <w:instrText xml:space="preserve"> ADDIN EN.CITE &lt;EndNote&gt;&lt;Cite&gt;&lt;Author&gt;Service&lt;/Author&gt;&lt;RecNum&gt;6&lt;/RecNum&gt;&lt;DisplayText&gt;&lt;style size="12"&gt;[6]&lt;/style&gt;&lt;/DisplayText&gt;&lt;record&gt;&lt;rec-number&gt;6&lt;/rec-number&gt;&lt;foreign-keys&gt;&lt;key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005AD2">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04831F8B" w:rsidR="009C6A68" w:rsidRDefault="00610F2D">
      <w:pPr>
        <w:pStyle w:val="Caption"/>
        <w:spacing w:before="120" w:after="240" w:line="260" w:lineRule="atLeast"/>
        <w:jc w:val="center"/>
      </w:pPr>
      <w:bookmarkStart w:id="13" w:name="_Ref15858780"/>
      <w:r>
        <w:rPr>
          <w:rFonts w:ascii="Garamond" w:hAnsi="Garamond" w:cstheme="majorHAnsi"/>
          <w:b/>
          <w:bCs/>
          <w:i w:val="0"/>
          <w:iCs w:val="0"/>
          <w:color w:val="auto"/>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1</w:t>
      </w:r>
      <w:r>
        <w:rPr>
          <w:rFonts w:ascii="Garamond" w:hAnsi="Garamond" w:cs="Calibri"/>
          <w:b/>
          <w:bCs/>
          <w:sz w:val="20"/>
          <w:szCs w:val="20"/>
        </w:rPr>
        <w:fldChar w:fldCharType="end"/>
      </w:r>
      <w:bookmarkEnd w:id="13"/>
      <w:r>
        <w:rPr>
          <w:rFonts w:ascii="Garamond" w:hAnsi="Garamond" w:cstheme="majorHAnsi"/>
          <w:b/>
          <w:bCs/>
          <w:i w:val="0"/>
          <w:iCs w:val="0"/>
          <w:color w:val="auto"/>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005AD2" w:rsidRPr="00005AD2">
        <w:rPr>
          <w:rFonts w:ascii="Garamond" w:hAnsi="Garamond" w:cstheme="majorHAnsi"/>
          <w:color w:val="auto"/>
          <w:sz w:val="20"/>
          <w:szCs w:val="20"/>
        </w:rPr>
        <w:instrText xml:space="preserve"> ADDIN EN.CITE &lt;EndNote&gt;&lt;Cite&gt;&lt;Author&gt;Cawley&lt;/Author&gt;&lt;Year&gt;2014&lt;/Year&gt;&lt;RecNum&gt;7&lt;/RecNum&gt;&lt;DisplayText&gt;&lt;style size="12"&gt;[7]&lt;/style&gt;&lt;/DisplayText&gt;&lt;record&gt;&lt;rec-number&gt;7&lt;/rec-number&gt;&lt;foreign-keys&gt;&lt;key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005AD2" w:rsidRPr="00005AD2">
        <w:rPr>
          <w:rFonts w:ascii="Garamond" w:hAnsi="Garamond" w:cstheme="majorHAnsi"/>
          <w:noProof/>
          <w:color w:val="auto"/>
          <w:sz w:val="20"/>
          <w:szCs w:val="20"/>
        </w:rPr>
        <w:t>[7]</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77777777" w:rsidR="009C6A68" w:rsidRDefault="00610F2D">
      <w:pPr>
        <w:spacing w:line="240" w:lineRule="auto"/>
        <w:jc w:val="both"/>
      </w:pPr>
      <w:r>
        <w:rPr>
          <w:noProof/>
        </w:rPr>
        <w:drawing>
          <wp:anchor distT="114300" distB="114300" distL="114300" distR="118745" simplePos="0" relativeHeight="2" behindDoc="0" locked="0" layoutInCell="1" allowOverlap="1" wp14:anchorId="56000495" wp14:editId="59BC9B00">
            <wp:simplePos x="0" y="0"/>
            <wp:positionH relativeFrom="column">
              <wp:posOffset>114300</wp:posOffset>
            </wp:positionH>
            <wp:positionV relativeFrom="paragraph">
              <wp:posOffset>340995</wp:posOffset>
            </wp:positionV>
            <wp:extent cx="2567305" cy="2762250"/>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2567305" cy="2762250"/>
                    </a:xfrm>
                    <a:prstGeom prst="rect">
                      <a:avLst/>
                    </a:prstGeom>
                  </pic:spPr>
                </pic:pic>
              </a:graphicData>
            </a:graphic>
          </wp:anchor>
        </w:drawing>
      </w:r>
      <w:r>
        <w:rPr>
          <w:rFonts w:ascii="Garamond" w:eastAsia="Garamond" w:hAnsi="Garamond" w:cstheme="majorHAnsi"/>
          <w:sz w:val="24"/>
          <w:szCs w:val="24"/>
        </w:rPr>
        <w:t xml:space="preserve">The Sleepers River Research Watershed (SRRW) in Vermont </w:t>
      </w:r>
      <w:r>
        <w:rPr>
          <w:rFonts w:ascii="Garamond" w:eastAsia="Garamond" w:hAnsi="Garamond" w:cstheme="majorHAnsi"/>
          <w:sz w:val="24"/>
          <w:szCs w:val="24"/>
          <w:highlight w:val="yellow"/>
        </w:rPr>
        <w:t xml:space="preserve">has been </w:t>
      </w:r>
      <w:r>
        <w:rPr>
          <w:rFonts w:ascii="Garamond" w:eastAsia="Garamond" w:hAnsi="Garamond" w:cstheme="majorHAnsi"/>
          <w:sz w:val="24"/>
          <w:szCs w:val="24"/>
        </w:rPr>
        <w:t xml:space="preserve">an active hydrologic research site since 1959 and </w:t>
      </w:r>
      <w:r>
        <w:rPr>
          <w:rFonts w:ascii="Garamond" w:eastAsia="Garamond" w:hAnsi="Garamond" w:cstheme="majorHAnsi"/>
          <w:sz w:val="24"/>
          <w:szCs w:val="24"/>
          <w:highlight w:val="yellow"/>
        </w:rPr>
        <w:t xml:space="preserve">was </w:t>
      </w:r>
      <w:r>
        <w:rPr>
          <w:rFonts w:ascii="Garamond" w:eastAsia="Garamond" w:hAnsi="Garamond" w:cstheme="majorHAnsi"/>
          <w:sz w:val="24"/>
          <w:szCs w:val="24"/>
        </w:rPr>
        <w:t xml:space="preserve">the setting where Dunne and Black (1970) determined the controls of saturation-excess overland flow (SOF) on streamflow generation shown in </w:t>
      </w:r>
      <w:r>
        <w:rPr>
          <w:rFonts w:ascii="Garamond" w:eastAsia="Garamond" w:hAnsi="Garamond" w:cs="Calibri"/>
          <w:sz w:val="24"/>
          <w:szCs w:val="24"/>
        </w:rPr>
        <w:fldChar w:fldCharType="begin"/>
      </w:r>
      <w:r>
        <w:rPr>
          <w:rFonts w:ascii="Garamond" w:eastAsia="Garamond" w:hAnsi="Garamond" w:cs="Calibri"/>
          <w:sz w:val="24"/>
          <w:szCs w:val="24"/>
        </w:rPr>
        <w:instrText>REF _Ref15858762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2</w:t>
      </w:r>
      <w:r>
        <w:rPr>
          <w:rFonts w:ascii="Garamond" w:eastAsia="Garamond" w:hAnsi="Garamond" w:cs="Calibri"/>
          <w:sz w:val="24"/>
          <w:szCs w:val="24"/>
        </w:rPr>
        <w:fldChar w:fldCharType="end"/>
      </w:r>
      <w:r>
        <w:rPr>
          <w:rFonts w:ascii="Garamond" w:eastAsia="Garamond" w:hAnsi="Garamond" w:cstheme="majorHAnsi"/>
          <w:sz w:val="24"/>
          <w:szCs w:val="24"/>
        </w:rPr>
        <w:t xml:space="preserve">. Specifically, the study area </w:t>
      </w:r>
      <w:r>
        <w:rPr>
          <w:rFonts w:ascii="Garamond" w:eastAsia="Garamond" w:hAnsi="Garamond" w:cstheme="majorHAnsi"/>
          <w:sz w:val="24"/>
          <w:szCs w:val="24"/>
          <w:highlight w:val="yellow"/>
        </w:rPr>
        <w:t>is</w:t>
      </w:r>
      <w:r>
        <w:rPr>
          <w:rFonts w:ascii="Garamond" w:eastAsia="Garamond" w:hAnsi="Garamond" w:cstheme="majorHAnsi"/>
          <w:sz w:val="24"/>
          <w:szCs w:val="24"/>
        </w:rPr>
        <w:t xml:space="preserve"> watershed W-3,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77777777" w:rsidR="009C6A68" w:rsidRDefault="009C6A68">
      <w:pPr>
        <w:spacing w:line="240" w:lineRule="auto"/>
        <w:jc w:val="both"/>
        <w:rPr>
          <w:rFonts w:ascii="Garamond" w:eastAsia="Garamond" w:hAnsi="Garamond" w:cstheme="majorHAnsi"/>
          <w:sz w:val="24"/>
          <w:szCs w:val="24"/>
        </w:rPr>
      </w:pPr>
    </w:p>
    <w:p w14:paraId="2085A058" w14:textId="17215254"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w:t>
      </w:r>
      <w:r>
        <w:rPr>
          <w:rFonts w:ascii="Garamond" w:eastAsia="Garamond" w:hAnsi="Garamond" w:cstheme="majorHAnsi"/>
          <w:sz w:val="24"/>
          <w:szCs w:val="24"/>
          <w:highlight w:val="yellow"/>
        </w:rPr>
        <w:t>have</w:t>
      </w:r>
      <w:r>
        <w:rPr>
          <w:rFonts w:ascii="Garamond" w:eastAsia="Garamond" w:hAnsi="Garamond" w:cstheme="majorHAnsi"/>
          <w:sz w:val="24"/>
          <w:szCs w:val="24"/>
        </w:rPr>
        <w:t xml:space="preserve"> shaped the present landscape and impacted its hydrological patterns. Most of the watershed is covered by 1-4 meters of glacial till which leads to high buffered streamflow due to the weathering of the calcite within the till. The study area </w:t>
      </w:r>
      <w:r>
        <w:rPr>
          <w:rFonts w:ascii="Garamond" w:eastAsia="Garamond" w:hAnsi="Garamond" w:cstheme="majorHAnsi"/>
          <w:sz w:val="24"/>
          <w:szCs w:val="24"/>
          <w:highlight w:val="yellow"/>
        </w:rPr>
        <w:t>has</w:t>
      </w:r>
      <w:r>
        <w:rPr>
          <w:rFonts w:ascii="Garamond" w:eastAsia="Garamond" w:hAnsi="Garamond" w:cstheme="majorHAnsi"/>
          <w:sz w:val="24"/>
          <w:szCs w:val="24"/>
        </w:rPr>
        <w:t xml:space="preserve"> a humid continental climate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&lt;EndNote&gt;&lt;Cite&gt;&lt;Author&gt;Shanley&lt;/Author&gt;&lt;Year&gt;2000&lt;/Year&gt;&lt;RecNum&gt;8&lt;/RecNum&gt;&lt;DisplayText&gt;&lt;style size="12"&gt;[8]&lt;/style&gt;&lt;/DisplayText&gt;&lt;record&gt;&lt;rec-number&gt;8&lt;/rec-number&gt;&lt;foreign-keys&gt;&lt;key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[8]</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41651EDE" w14:textId="77777777" w:rsidR="009C6A68" w:rsidRDefault="009C6A68">
      <w:pPr>
        <w:rPr>
          <w:rFonts w:ascii="Garamond" w:hAnsi="Garamond"/>
        </w:rPr>
      </w:pPr>
    </w:p>
    <w:p w14:paraId="5F5E0EC0" w14:textId="77777777" w:rsidR="009C6A68" w:rsidRDefault="009C6A68">
      <w:pPr>
        <w:rPr>
          <w:rFonts w:ascii="Garamond" w:hAnsi="Garamond"/>
        </w:rPr>
      </w:pPr>
    </w:p>
    <w:p w14:paraId="3668CF5E" w14:textId="77777777" w:rsidR="009C6A68" w:rsidRDefault="00610F2D">
      <w:pPr>
        <w:spacing w:before="120" w:after="240" w:line="260" w:lineRule="atLeast"/>
        <w:ind w:left="810"/>
      </w:pPr>
      <w:bookmarkStart w:id="14"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4"/>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00AE5C5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first modeled using TOPMODEL. The TOPMODEL function in R requires an input of five variables. The first is a set of ten parameters which are described by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 xml:space="preserve">.  The second is a TWI data frame which represents the distribution of TWI values for the Digital Elevation Model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The third variable is a delay data frame which represents channel routing through the watershed. The fourth and fifth variables are precipitation and potential evapotranspiration values respectively. For a more thorough explanation of these five input variables, see </w:t>
      </w:r>
      <w:r w:rsidR="009A39F1">
        <w:rPr>
          <w:rFonts w:ascii="Garamond" w:eastAsia="Garamond" w:hAnsi="Garamond" w:cstheme="majorHAnsi"/>
          <w:sz w:val="24"/>
          <w:szCs w:val="24"/>
        </w:rPr>
        <w:fldChar w:fldCharType="begin"/>
      </w:r>
      <w:r w:rsidR="009A39F1">
        <w:rPr>
          <w:rFonts w:ascii="Garamond" w:eastAsia="Garamond" w:hAnsi="Garamond" w:cstheme="majorHAnsi"/>
          <w:sz w:val="24"/>
          <w:szCs w:val="24"/>
        </w:rPr>
        <w:instrText xml:space="preserve"> ADDIN EN.CITE &lt;EndNote&gt;&lt;Cite&gt;&lt;Author&gt;Buytaert&lt;/Author&gt;&lt;Year&gt;2018&lt;/Year&gt;&lt;RecNum&gt;3&lt;/RecNum&gt;&lt;DisplayText&gt;&lt;style size="12"&gt;[3]&lt;/style&gt;&lt;/DisplayText&gt;&lt;record&gt;&lt;rec-number&gt;3&lt;/rec-number&gt;&lt;foreign-keys&gt;&lt;key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9A39F1">
        <w:rPr>
          <w:rFonts w:ascii="Garamond" w:eastAsia="Garamond" w:hAnsi="Garamond" w:cstheme="majorHAnsi"/>
          <w:noProof/>
          <w:sz w:val="24"/>
          <w:szCs w:val="24"/>
        </w:rPr>
        <w:t>[3]</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349E7B86"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Precipitation values were obtained from the Analysis of Record for Calibration (AORC) </w:t>
      </w:r>
      <w:r w:rsidR="00095BA4">
        <w:rPr>
          <w:rFonts w:ascii="Garamond" w:eastAsia="Garamond" w:hAnsi="Garamond" w:cstheme="majorHAnsi"/>
          <w:sz w:val="24"/>
          <w:szCs w:val="24"/>
        </w:rPr>
        <w:fldChar w:fldCharType="begin"/>
      </w:r>
      <w:r w:rsidR="00095BA4">
        <w:rPr>
          <w:rFonts w:ascii="Garamond" w:eastAsia="Garamond" w:hAnsi="Garamond" w:cstheme="majorHAnsi"/>
          <w:sz w:val="24"/>
          <w:szCs w:val="24"/>
        </w:rPr>
        <w:instrText xml:space="preserve"> ADDIN EN.CITE &lt;EndNote&gt;&lt;Cite&gt;&lt;Author&gt;Kitzmiller&lt;/Author&gt;&lt;Year&gt;2018&lt;/Year&gt;&lt;RecNum&gt;9&lt;/RecNum&gt;&lt;DisplayText&gt;&lt;style size="12"&gt;[9]&lt;/style&gt;&lt;/DisplayText&gt;&lt;record&gt;&lt;rec-number&gt;9&lt;/rec-number&gt;&lt;foreign-keys&gt;&lt;key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095BA4">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The water balance method was used to find that the average rate of ET for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W-3 was approximately 3 </w:t>
      </w:r>
      <w:commentRangeStart w:id="15"/>
      <w:r>
        <w:rPr>
          <w:rFonts w:ascii="Garamond" w:eastAsia="Garamond" w:hAnsi="Garamond" w:cstheme="majorHAnsi"/>
          <w:sz w:val="24"/>
          <w:szCs w:val="24"/>
        </w:rPr>
        <w:t>mm</w:t>
      </w:r>
      <w:r w:rsidR="00D441EA">
        <w:rPr>
          <w:rFonts w:ascii="Garamond" w:eastAsia="Garamond" w:hAnsi="Garamond" w:cstheme="majorHAnsi"/>
          <w:sz w:val="24"/>
          <w:szCs w:val="24"/>
        </w:rPr>
        <w:t xml:space="preserve"> </w:t>
      </w:r>
      <w:r>
        <w:rPr>
          <w:rFonts w:ascii="Garamond" w:eastAsia="Garamond" w:hAnsi="Garamond" w:cstheme="majorHAnsi"/>
          <w:sz w:val="24"/>
          <w:szCs w:val="24"/>
        </w:rPr>
        <w:t>d</w:t>
      </w:r>
      <w:commentRangeEnd w:id="15"/>
      <w:proofErr w:type="gramStart"/>
      <w:r w:rsidR="00D441EA">
        <w:rPr>
          <w:rFonts w:ascii="Garamond" w:eastAsia="Garamond" w:hAnsi="Garamond" w:cstheme="majorHAnsi"/>
          <w:sz w:val="24"/>
          <w:szCs w:val="24"/>
        </w:rPr>
        <w:t>^(</w:t>
      </w:r>
      <w:proofErr w:type="gramEnd"/>
      <w:r w:rsidR="00D441EA">
        <w:rPr>
          <w:rFonts w:ascii="Garamond" w:eastAsia="Garamond" w:hAnsi="Garamond" w:cstheme="majorHAnsi"/>
          <w:sz w:val="24"/>
          <w:szCs w:val="24"/>
        </w:rPr>
        <w:t>-1)</w:t>
      </w:r>
      <w:r>
        <w:commentReference w:id="15"/>
      </w:r>
      <w:commentRangeStart w:id="16"/>
      <w:r>
        <w:rPr>
          <w:rFonts w:ascii="Garamond" w:eastAsia="Garamond" w:hAnsi="Garamond" w:cstheme="majorHAnsi"/>
          <w:sz w:val="24"/>
          <w:szCs w:val="24"/>
        </w:rPr>
        <w:t xml:space="preserve">. </w:t>
      </w:r>
      <w:commentRangeEnd w:id="16"/>
      <w:r>
        <w:commentReference w:id="16"/>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Pr>
          <w:rFonts w:ascii="Garamond" w:eastAsia="Garamond" w:hAnsi="Garamond" w:cstheme="majorHAnsi"/>
          <w:sz w:val="24"/>
          <w:szCs w:val="24"/>
        </w:rPr>
        <w:t>/day,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3017EE26"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w:t>
      </w:r>
      <w:proofErr w:type="spellStart"/>
      <w:r>
        <w:rPr>
          <w:rFonts w:ascii="Garamond" w:eastAsia="Garamond" w:hAnsi="Garamond" w:cstheme="majorHAnsi"/>
          <w:sz w:val="24"/>
          <w:szCs w:val="24"/>
        </w:rPr>
        <w:t>Hydroinformatics</w:t>
      </w:r>
      <w:proofErr w:type="spellEnd"/>
      <w:r>
        <w:rPr>
          <w:rFonts w:ascii="Garamond" w:eastAsia="Garamond" w:hAnsi="Garamond" w:cstheme="majorHAnsi"/>
          <w:sz w:val="24"/>
          <w:szCs w:val="24"/>
        </w:rPr>
        <w:t xml:space="preserve"> teams of Fellows at the 2019 Summer Institute. They created 22,000</w:t>
      </w:r>
      <w:r>
        <w:rPr>
          <w:rFonts w:ascii="Garamond" w:eastAsia="Garamond" w:hAnsi="Garamond" w:cstheme="majorHAnsi"/>
          <w:color w:val="1D1C1D"/>
          <w:sz w:val="24"/>
          <w:szCs w:val="24"/>
        </w:rPr>
        <w:t xml:space="preserve"> sets of parameters sampled with </w:t>
      </w:r>
      <w:commentRangeStart w:id="17"/>
      <w:proofErr w:type="spellStart"/>
      <w:r>
        <w:rPr>
          <w:rFonts w:ascii="Garamond" w:eastAsia="Garamond" w:hAnsi="Garamond" w:cstheme="majorHAnsi"/>
          <w:color w:val="1D1C1D"/>
          <w:sz w:val="24"/>
          <w:szCs w:val="24"/>
        </w:rPr>
        <w:t>Saltelli</w:t>
      </w:r>
      <w:proofErr w:type="spellEnd"/>
      <w:r>
        <w:rPr>
          <w:rFonts w:ascii="Garamond" w:eastAsia="Garamond" w:hAnsi="Garamond" w:cstheme="majorHAnsi"/>
          <w:color w:val="1D1C1D"/>
          <w:sz w:val="24"/>
          <w:szCs w:val="24"/>
        </w:rPr>
        <w:t xml:space="preserve"> techniques</w:t>
      </w:r>
      <w:commentRangeEnd w:id="17"/>
      <w:r>
        <w:commentReference w:id="17"/>
      </w:r>
      <w:r>
        <w:rPr>
          <w:rFonts w:ascii="Garamond" w:eastAsia="Garamond" w:hAnsi="Garamond" w:cstheme="majorHAnsi"/>
          <w:color w:val="1D1C1D"/>
          <w:sz w:val="24"/>
          <w:szCs w:val="24"/>
        </w:rPr>
        <w:t xml:space="preserve">, and performed a </w:t>
      </w:r>
      <w:commentRangeStart w:id="18"/>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18"/>
      <w:r>
        <w:commentReference w:id="18"/>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commentRangeStart w:id="19"/>
      <w:proofErr w:type="spellStart"/>
      <w:r w:rsidRPr="00D441EA">
        <w:rPr>
          <w:rFonts w:ascii="Garamond" w:eastAsia="Garamond" w:hAnsi="Garamond" w:cstheme="majorHAnsi"/>
          <w:i/>
          <w:color w:val="1D1C1D"/>
          <w:sz w:val="24"/>
          <w:szCs w:val="24"/>
        </w:rPr>
        <w:t>q</w:t>
      </w:r>
      <w:r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w:t>
      </w:r>
      <w:commentRangeEnd w:id="19"/>
      <w:r>
        <w:commentReference w:id="19"/>
      </w:r>
      <w:r>
        <w:rPr>
          <w:rFonts w:ascii="Garamond" w:eastAsia="Garamond" w:hAnsi="Garamond" w:cstheme="majorHAnsi"/>
          <w:color w:val="1D1C1D"/>
          <w:sz w:val="24"/>
          <w:szCs w:val="24"/>
        </w:rPr>
        <w:t>, rate of decline of transmissivity in the soil profile (m), and maximum root zone storage deficit (</w:t>
      </w:r>
      <w:proofErr w:type="spellStart"/>
      <w:r w:rsidRPr="00D441EA">
        <w:rPr>
          <w:rFonts w:ascii="Garamond" w:eastAsia="Garamond" w:hAnsi="Garamond" w:cstheme="majorHAnsi"/>
          <w:i/>
          <w:color w:val="1D1C1D"/>
          <w:sz w:val="24"/>
          <w:szCs w:val="24"/>
        </w:rPr>
        <w:t>sr</w:t>
      </w:r>
      <w:r w:rsidRPr="00D441EA">
        <w:rPr>
          <w:rFonts w:ascii="Garamond" w:eastAsia="Garamond" w:hAnsi="Garamond" w:cstheme="majorHAnsi"/>
          <w:i/>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Pr="00D441EA">
        <w:rPr>
          <w:rFonts w:ascii="Garamond" w:eastAsia="Garamond" w:hAnsi="Garamond" w:cstheme="majorHAnsi"/>
          <w:i/>
          <w:color w:val="1D1C1D"/>
          <w:sz w:val="24"/>
          <w:szCs w:val="24"/>
          <w:highlight w:val="yellow"/>
        </w:rPr>
        <w:t>q</w:t>
      </w:r>
      <w:r w:rsidRPr="00D441EA">
        <w:rPr>
          <w:rFonts w:ascii="Garamond" w:eastAsia="Garamond" w:hAnsi="Garamond" w:cstheme="majorHAnsi"/>
          <w:i/>
          <w:color w:val="1D1C1D"/>
          <w:sz w:val="24"/>
          <w:szCs w:val="24"/>
          <w:highlight w:val="yellow"/>
          <w:vertAlign w:val="subscript"/>
        </w:rPr>
        <w:t>so</w:t>
      </w:r>
      <w:proofErr w:type="spellEnd"/>
      <w:r>
        <w:rPr>
          <w:rFonts w:ascii="Garamond" w:eastAsia="Garamond" w:hAnsi="Garamond" w:cstheme="majorHAnsi"/>
          <w:color w:val="1D1C1D"/>
          <w:sz w:val="24"/>
          <w:szCs w:val="24"/>
        </w:rPr>
        <w:t>. Therefore, TOPMODEL is not recommended for modeling a time period of several months. This study focuses on a limited period of 2 weeks for Hubbard Brook (June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20"/>
      <w:commentRangeEnd w:id="20"/>
      <w:r>
        <w:commentReference w:id="20"/>
      </w:r>
      <w:r w:rsidR="00FC7FAB">
        <w:rPr>
          <w:rFonts w:ascii="Garamond" w:eastAsia="Garamond" w:hAnsi="Garamond" w:cstheme="majorHAnsi"/>
          <w:i/>
          <w:sz w:val="24"/>
          <w:szCs w:val="24"/>
        </w:rPr>
        <w:t>Model</w:t>
      </w:r>
    </w:p>
    <w:p w14:paraId="7577451D" w14:textId="1BF0E9F1" w:rsidR="009C6A68" w:rsidRDefault="00610F2D">
      <w:pPr>
        <w:spacing w:line="240" w:lineRule="auto"/>
        <w:jc w:val="both"/>
      </w:pPr>
      <w:r>
        <w:rPr>
          <w:rFonts w:ascii="Garamond" w:eastAsia="Garamond" w:hAnsi="Garamond" w:cstheme="majorHAnsi"/>
          <w:sz w:val="24"/>
          <w:szCs w:val="24"/>
        </w:rPr>
        <w:t xml:space="preserve">Our alternate model </w:t>
      </w:r>
      <w:r w:rsidR="00FC7FAB">
        <w:rPr>
          <w:rFonts w:ascii="Garamond" w:eastAsia="Garamond" w:hAnsi="Garamond" w:cstheme="majorHAnsi"/>
          <w:sz w:val="24"/>
          <w:szCs w:val="24"/>
        </w:rPr>
        <w:t>applies</w:t>
      </w:r>
      <w:r>
        <w:rPr>
          <w:rFonts w:ascii="Garamond" w:eastAsia="Garamond" w:hAnsi="Garamond" w:cstheme="majorHAnsi"/>
          <w:sz w:val="24"/>
          <w:szCs w:val="24"/>
        </w:rPr>
        <w:t xml:space="preserve"> the assumptions of TOPMODEL to characterize the hydrologic behavior of a watershed and applies a synthetic relationship to the rainfall-runoff transformation. The three main assumptions that are addressed in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is limited to a few meters (&lt;5) and is spatially uniform across the watershed, c) the groundwater table has the same slope as the ground surface, which implies that groundwater moves in the same direction as surface runoff.</w:t>
      </w:r>
      <w:commentRangeStart w:id="21"/>
      <w:commentRangeEnd w:id="21"/>
      <w:r>
        <w:commentReference w:id="21"/>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564BC46B" w:rsidR="009C6A68" w:rsidRDefault="00610F2D">
      <w:pPr>
        <w:spacing w:line="240" w:lineRule="auto"/>
        <w:jc w:val="both"/>
      </w:pPr>
      <w:r>
        <w:rPr>
          <w:rFonts w:ascii="Garamond" w:eastAsia="Garamond" w:hAnsi="Garamond" w:cstheme="majorHAnsi"/>
          <w:sz w:val="24"/>
          <w:szCs w:val="24"/>
        </w:rPr>
        <w:t xml:space="preserve">The alternate model is made of two distinct parts, or algorithms. Part 1 of the model consists of characterizing the watershed with a relationship between the proportion of saturated area and the total water content in the soil, or equivalently the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uses a DEM to identify flow direction based on the prevalent slope in the D8 scheme </w:t>
      </w:r>
      <w:r w:rsidR="00E91FB0">
        <w:rPr>
          <w:rFonts w:ascii="Garamond" w:eastAsia="Garamond" w:hAnsi="Garamond" w:cstheme="majorHAnsi"/>
          <w:sz w:val="24"/>
          <w:szCs w:val="24"/>
        </w:rPr>
        <w:fldChar w:fldCharType="begin"/>
      </w:r>
      <w:r w:rsidR="00E91FB0">
        <w:rPr>
          <w:rFonts w:ascii="Garamond" w:eastAsia="Garamond" w:hAnsi="Garamond" w:cstheme="majorHAnsi"/>
          <w:sz w:val="24"/>
          <w:szCs w:val="24"/>
        </w:rPr>
        <w:instrText xml:space="preserve"> ADDIN EN.CITE &lt;EndNote&gt;&lt;Cite&gt;&lt;Author&gt;Jenson&lt;/Author&gt;&lt;Year&gt;1988&lt;/Year&gt;&lt;RecNum&gt;10&lt;/RecNum&gt;&lt;DisplayText&gt;&lt;style size="12"&gt;[10]&lt;/style&gt;&lt;/DisplayText&gt;&lt;record&gt;&lt;rec-number&gt;10&lt;/rec-number&gt;&lt;foreign-keys&gt;&lt;key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[10]</w:t>
      </w:r>
      <w:r w:rsidR="00E91FB0">
        <w:rPr>
          <w:rFonts w:ascii="Garamond" w:eastAsia="Garamond" w:hAnsi="Garamond" w:cstheme="majorHAnsi"/>
          <w:sz w:val="24"/>
          <w:szCs w:val="24"/>
        </w:rPr>
        <w:fldChar w:fldCharType="end"/>
      </w:r>
      <w:r>
        <w:rPr>
          <w:rFonts w:ascii="Garamond" w:eastAsia="Garamond" w:hAnsi="Garamond" w:cstheme="majorHAnsi"/>
          <w:sz w:val="24"/>
          <w:szCs w:val="24"/>
        </w:rPr>
        <w:t>. The model starts from an ideal condition of complete saturation of the whole watershed and simulates the natural lowering of groundwater and the subsurface flow toward the outlet. At each time step, it identifies the saturated cells, calculates the percentage of the saturated area across the total area of the watershed and records the overall amount of water stored in the aquifer, both in unsaturated and saturated layers. The pseudocode in</w:t>
      </w:r>
      <w:commentRangeStart w:id="22"/>
      <w:commentRangeStart w:id="23"/>
      <w:r>
        <w:rPr>
          <w:rFonts w:ascii="Garamond" w:eastAsia="Garamond" w:hAnsi="Garamond" w:cstheme="majorHAnsi"/>
          <w:sz w:val="24"/>
          <w:szCs w:val="24"/>
        </w:rPr>
        <w:t xml:space="preserve"> </w:t>
      </w:r>
      <w:r w:rsidR="00AE0BB6">
        <w:rPr>
          <w:rFonts w:ascii="Garamond" w:eastAsia="Garamond" w:hAnsi="Garamond" w:cs="Calibri"/>
          <w:sz w:val="24"/>
          <w:szCs w:val="24"/>
        </w:rPr>
        <w:t>Algorithm 1</w:t>
      </w:r>
      <w:r>
        <w:rPr>
          <w:rFonts w:ascii="Garamond" w:eastAsia="Garamond" w:hAnsi="Garamond" w:cstheme="majorHAnsi"/>
          <w:color w:val="3C78D8"/>
          <w:sz w:val="24"/>
          <w:szCs w:val="24"/>
        </w:rPr>
        <w:t xml:space="preserve"> </w:t>
      </w:r>
      <w:commentRangeEnd w:id="22"/>
      <w:r>
        <w:commentReference w:id="22"/>
      </w:r>
      <w:commentRangeEnd w:id="23"/>
      <w:r w:rsidR="00AE0BB6">
        <w:rPr>
          <w:rStyle w:val="CommentReference"/>
        </w:rPr>
        <w:commentReference w:id="23"/>
      </w:r>
      <w:r>
        <w:rPr>
          <w:rFonts w:ascii="Garamond" w:eastAsia="Garamond" w:hAnsi="Garamond" w:cstheme="majorHAnsi"/>
          <w:sz w:val="24"/>
          <w:szCs w:val="24"/>
        </w:rPr>
        <w:t>summarizes the steps in Part 1.</w:t>
      </w:r>
    </w:p>
    <w:p w14:paraId="34590748" w14:textId="77777777" w:rsidR="009C6A68" w:rsidRDefault="009C6A68">
      <w:pPr>
        <w:spacing w:line="240" w:lineRule="auto"/>
        <w:jc w:val="both"/>
        <w:rPr>
          <w:rFonts w:ascii="Garamond" w:eastAsia="Garamond" w:hAnsi="Garamond" w:cstheme="majorHAnsi"/>
          <w:sz w:val="24"/>
          <w:szCs w:val="24"/>
        </w:rPr>
      </w:pPr>
    </w:p>
    <w:p w14:paraId="0FFCE391" w14:textId="77777777" w:rsidR="00261DD8" w:rsidRDefault="00261DD8">
      <w:pPr>
        <w:spacing w:line="240" w:lineRule="auto"/>
        <w:rPr>
          <w:rFonts w:ascii="Garamond" w:hAnsi="Garamond" w:cstheme="majorHAnsi"/>
          <w:b/>
          <w:bCs/>
          <w:sz w:val="20"/>
          <w:szCs w:val="20"/>
        </w:rPr>
      </w:pPr>
      <w:bookmarkStart w:id="24" w:name="_Ref15858714"/>
      <w:r>
        <w:rPr>
          <w:rFonts w:ascii="Garamond" w:hAnsi="Garamond" w:cstheme="majorHAnsi"/>
          <w:b/>
          <w:bCs/>
          <w:i/>
          <w:iCs/>
          <w:sz w:val="20"/>
          <w:szCs w:val="20"/>
        </w:rPr>
        <w:br w:type="page"/>
      </w:r>
    </w:p>
    <w:bookmarkEnd w:id="24"/>
    <w:p w14:paraId="2CBEA46F" w14:textId="04BA0C83" w:rsidR="00261DD8" w:rsidRPr="00261DD8" w:rsidRDefault="00261DD8" w:rsidP="00261DD8">
      <w:pPr>
        <w:pStyle w:val="Caption"/>
        <w:spacing w:before="120" w:after="240" w:line="260" w:lineRule="atLeast"/>
        <w:rPr>
          <w:color w:val="FF0000"/>
        </w:rPr>
      </w:pPr>
      <w:r>
        <w:rPr>
          <w:rFonts w:ascii="Garamond" w:hAnsi="Garamond" w:cstheme="majorHAnsi"/>
          <w:b/>
          <w:bCs/>
          <w:i w:val="0"/>
          <w:iCs w:val="0"/>
          <w:color w:val="auto"/>
          <w:sz w:val="20"/>
          <w:szCs w:val="20"/>
        </w:rPr>
        <w:t>Algorithm 1.</w:t>
      </w:r>
      <w:r>
        <w:rPr>
          <w:rFonts w:ascii="Garamond" w:hAnsi="Garamond" w:cstheme="majorHAnsi"/>
          <w:i w:val="0"/>
          <w:iCs w:val="0"/>
          <w:color w:val="auto"/>
          <w:sz w:val="20"/>
          <w:szCs w:val="20"/>
        </w:rPr>
        <w:t xml:space="preserve"> </w:t>
      </w:r>
      <w:r>
        <w:rPr>
          <w:rFonts w:ascii="Garamond" w:hAnsi="Garamond" w:cstheme="majorHAnsi"/>
          <w:color w:val="auto"/>
          <w:sz w:val="20"/>
          <w:szCs w:val="20"/>
        </w:rPr>
        <w:t>Pseudo code for Part 1 of the alternate model (</w:t>
      </w:r>
      <w:proofErr w:type="spellStart"/>
      <w:r>
        <w:rPr>
          <w:rFonts w:ascii="Garamond" w:hAnsi="Garamond" w:cstheme="majorHAnsi"/>
          <w:color w:val="auto"/>
          <w:sz w:val="20"/>
          <w:szCs w:val="20"/>
        </w:rPr>
        <w:t>DrainTheWatershed</w:t>
      </w:r>
      <w:proofErr w:type="spellEnd"/>
      <w:r>
        <w:rPr>
          <w:rFonts w:ascii="Garamond" w:hAnsi="Garamond" w:cstheme="majorHAnsi"/>
          <w:color w:val="auto"/>
          <w:sz w:val="20"/>
          <w:szCs w:val="20"/>
        </w:rPr>
        <w:t xml:space="preserve">). </w:t>
      </w:r>
      <w:r w:rsidRPr="00261DD8">
        <w:rPr>
          <w:rFonts w:ascii="Garamond" w:hAnsi="Garamond" w:cstheme="majorHAnsi"/>
          <w:color w:val="FF0000"/>
          <w:sz w:val="20"/>
          <w:szCs w:val="20"/>
        </w:rPr>
        <w:t>The relationship is built at each timestep from recorded values of Saturated Area Ratio and normalized Storage.</w:t>
      </w:r>
    </w:p>
    <w:p w14:paraId="3A7E1ADB" w14:textId="24286DE8" w:rsidR="00AE0BB6" w:rsidRDefault="00AE0BB6">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75A18E76" wp14:editId="3E0D16FA">
            <wp:extent cx="5943600" cy="41513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51376"/>
                    </a:xfrm>
                    <a:prstGeom prst="rect">
                      <a:avLst/>
                    </a:prstGeom>
                    <a:noFill/>
                  </pic:spPr>
                </pic:pic>
              </a:graphicData>
            </a:graphic>
          </wp:inline>
        </w:drawing>
      </w:r>
    </w:p>
    <w:p w14:paraId="4C55F87F" w14:textId="77777777" w:rsidR="009C6A68" w:rsidRDefault="009C6A68">
      <w:pPr>
        <w:spacing w:line="240" w:lineRule="auto"/>
        <w:jc w:val="both"/>
        <w:rPr>
          <w:rFonts w:ascii="Garamond" w:eastAsia="Garamond" w:hAnsi="Garamond" w:cstheme="majorHAnsi"/>
          <w:sz w:val="24"/>
          <w:szCs w:val="24"/>
        </w:rPr>
      </w:pPr>
    </w:p>
    <w:p w14:paraId="192B0B10" w14:textId="0583CE15" w:rsidR="009C6A68" w:rsidRDefault="00610F2D">
      <w:pPr>
        <w:spacing w:line="240" w:lineRule="auto"/>
        <w:jc w:val="both"/>
        <w:rPr>
          <w:rFonts w:ascii="Garamond" w:eastAsia="Garamond" w:hAnsi="Garamond" w:cstheme="majorHAnsi"/>
          <w:sz w:val="24"/>
          <w:szCs w:val="24"/>
        </w:rPr>
      </w:pPr>
      <w:commentRangeStart w:id="25"/>
      <w:r>
        <w:rPr>
          <w:rFonts w:ascii="Garamond" w:eastAsia="Garamond" w:hAnsi="Garamond" w:cstheme="majorHAnsi"/>
          <w:sz w:val="24"/>
          <w:szCs w:val="24"/>
        </w:rPr>
        <w:t>The above relationship characterizes</w:t>
      </w:r>
      <w:commentRangeEnd w:id="25"/>
      <w:r>
        <w:commentReference w:id="25"/>
      </w:r>
      <w:r>
        <w:rPr>
          <w:rFonts w:ascii="Garamond" w:eastAsia="Garamond" w:hAnsi="Garamond" w:cstheme="majorHAnsi"/>
          <w:sz w:val="24"/>
          <w:szCs w:val="24"/>
        </w:rPr>
        <w:t xml:space="preserve"> the relevant processes occurring in the watershed. Part 2 of the model is, in fact, a lump type of model. Differently from Part 1, Part 2 moves away from a distributed model and treats the watershed as one reservoir behaving according to the relationship from Part 1. The model takes precipitation and evapotranspiration as input and applies the mass balance equation to determine subsurface storage and overland flow at the outlet of the watershed. Pseudocode in </w:t>
      </w:r>
      <w:r w:rsidR="00265DFE">
        <w:rPr>
          <w:rFonts w:ascii="Garamond" w:eastAsia="Garamond" w:hAnsi="Garamond" w:cs="Calibri"/>
          <w:sz w:val="24"/>
          <w:szCs w:val="24"/>
        </w:rPr>
        <w:t>Algorithm 2</w:t>
      </w:r>
      <w:r>
        <w:rPr>
          <w:rFonts w:ascii="Garamond" w:eastAsia="Garamond" w:hAnsi="Garamond" w:cstheme="majorHAnsi"/>
          <w:sz w:val="24"/>
          <w:szCs w:val="24"/>
        </w:rPr>
        <w:t xml:space="preserve"> summarizes rainfall-runoff transformation algorithm in Part 2. The key concept is that soil water storage and surface runoff, which by hypothesis (c) is generated only from saturation excess, are strictly related and follow the relationship from Part 1.</w:t>
      </w:r>
    </w:p>
    <w:p w14:paraId="23F02E91" w14:textId="77777777" w:rsidR="00261DD8" w:rsidRDefault="00261DD8">
      <w:pPr>
        <w:spacing w:line="240" w:lineRule="auto"/>
        <w:jc w:val="both"/>
      </w:pPr>
    </w:p>
    <w:p w14:paraId="6E9AFC07" w14:textId="77777777" w:rsidR="00261DD8" w:rsidRDefault="00261DD8">
      <w:pPr>
        <w:spacing w:line="240" w:lineRule="auto"/>
        <w:rPr>
          <w:rFonts w:ascii="Garamond" w:hAnsi="Garamond" w:cstheme="majorHAnsi"/>
          <w:b/>
          <w:bCs/>
          <w:sz w:val="20"/>
          <w:szCs w:val="20"/>
        </w:rPr>
      </w:pPr>
      <w:bookmarkStart w:id="26" w:name="_Ref15858689"/>
      <w:r>
        <w:rPr>
          <w:rFonts w:ascii="Garamond" w:hAnsi="Garamond" w:cstheme="majorHAnsi"/>
          <w:b/>
          <w:bCs/>
          <w:i/>
          <w:iCs/>
          <w:sz w:val="20"/>
          <w:szCs w:val="20"/>
        </w:rPr>
        <w:br w:type="page"/>
      </w:r>
    </w:p>
    <w:bookmarkEnd w:id="26"/>
    <w:p w14:paraId="7D7CD9A2" w14:textId="52E45898" w:rsidR="00261DD8" w:rsidRDefault="00261DD8" w:rsidP="00261DD8">
      <w:pPr>
        <w:pStyle w:val="Caption"/>
        <w:spacing w:before="120" w:after="240" w:line="260" w:lineRule="atLeast"/>
      </w:pPr>
      <w:r>
        <w:rPr>
          <w:rFonts w:ascii="Garamond" w:hAnsi="Garamond" w:cstheme="majorHAnsi"/>
          <w:b/>
          <w:bCs/>
          <w:i w:val="0"/>
          <w:iCs w:val="0"/>
          <w:color w:val="auto"/>
          <w:sz w:val="20"/>
          <w:szCs w:val="20"/>
        </w:rPr>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27"/>
      <w:commentRangeStart w:id="28"/>
      <w:commentRangeEnd w:id="27"/>
      <w:r>
        <w:commentReference w:id="27"/>
      </w:r>
      <w:commentRangeEnd w:id="28"/>
      <w:r>
        <w:rPr>
          <w:rStyle w:val="CommentReference"/>
          <w:i w:val="0"/>
          <w:iCs w:val="0"/>
          <w:color w:val="auto"/>
        </w:rPr>
        <w:commentReference w:id="28"/>
      </w:r>
    </w:p>
    <w:p w14:paraId="3B2A2038" w14:textId="0DBD2BEC" w:rsidR="00AE0BB6" w:rsidRDefault="00AE0BB6">
      <w:pPr>
        <w:spacing w:before="120" w:line="240" w:lineRule="auto"/>
        <w:jc w:val="both"/>
        <w:rPr>
          <w:rFonts w:ascii="Garamond" w:eastAsia="Garamond" w:hAnsi="Garamond" w:cstheme="majorHAnsi"/>
          <w:sz w:val="24"/>
          <w:szCs w:val="24"/>
        </w:rPr>
      </w:pPr>
      <w:r w:rsidRPr="00AE0BB6">
        <w:rPr>
          <w:rFonts w:ascii="Garamond" w:eastAsia="Garamond" w:hAnsi="Garamond" w:cstheme="majorHAnsi"/>
          <w:noProof/>
          <w:sz w:val="24"/>
          <w:szCs w:val="24"/>
        </w:rPr>
        <w:drawing>
          <wp:inline distT="0" distB="0" distL="0" distR="0" wp14:anchorId="2D4AA2B9" wp14:editId="2FDC765E">
            <wp:extent cx="5943600" cy="3178810"/>
            <wp:effectExtent l="0" t="0" r="0" b="2540"/>
            <wp:docPr id="3" name="Picture 2">
              <a:extLst xmlns:a="http://schemas.openxmlformats.org/drawingml/2006/main">
                <a:ext uri="{FF2B5EF4-FFF2-40B4-BE49-F238E27FC236}">
                  <a16:creationId xmlns:a16="http://schemas.microsoft.com/office/drawing/2014/main" id="{40F4ED27-CBF1-452C-A917-7AF8AFFDE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0F4ED27-CBF1-452C-A917-7AF8AFFDE431}"/>
                        </a:ext>
                      </a:extLst>
                    </pic:cNvPr>
                    <pic:cNvPicPr>
                      <a:picLocks noChangeAspect="1"/>
                    </pic:cNvPicPr>
                  </pic:nvPicPr>
                  <pic:blipFill>
                    <a:blip r:embed="rId11"/>
                    <a:stretch>
                      <a:fillRect/>
                    </a:stretch>
                  </pic:blipFill>
                  <pic:spPr>
                    <a:xfrm>
                      <a:off x="0" y="0"/>
                      <a:ext cx="5943600" cy="3178810"/>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72895D0" w:rsidR="009C6A68" w:rsidRDefault="009F1763">
      <w:pPr>
        <w:spacing w:line="240" w:lineRule="auto"/>
        <w:jc w:val="both"/>
      </w:pPr>
      <w:r>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29"/>
      <w:commentRangeEnd w:id="29"/>
      <w:r w:rsidR="00610F2D">
        <w:commentReference w:id="29"/>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72419B49"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Hubbard Brook.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77777777" w:rsidR="009C6A68" w:rsidRDefault="00610F2D">
      <w:pPr>
        <w:pStyle w:val="NormalWeb"/>
        <w:spacing w:beforeAutospacing="0" w:afterAutospacing="0"/>
        <w:jc w:val="both"/>
      </w:pPr>
      <w:r>
        <w:rPr>
          <w:noProof/>
        </w:rPr>
        <w:drawing>
          <wp:inline distT="0" distB="0" distL="0" distR="0" wp14:anchorId="3959B94D" wp14:editId="42268B1A">
            <wp:extent cx="5943600" cy="3360420"/>
            <wp:effectExtent l="0" t="0" r="0" b="0"/>
            <wp:docPr id="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pic:cNvPicPr>
                      <a:picLocks noChangeAspect="1" noChangeArrowheads="1"/>
                    </pic:cNvPicPr>
                  </pic:nvPicPr>
                  <pic:blipFill>
                    <a:blip r:embed="rId12"/>
                    <a:stretch>
                      <a:fillRect/>
                    </a:stretch>
                  </pic:blipFill>
                  <pic:spPr bwMode="auto">
                    <a:xfrm>
                      <a:off x="0" y="0"/>
                      <a:ext cx="5943600" cy="3360420"/>
                    </a:xfrm>
                    <a:prstGeom prst="rect">
                      <a:avLst/>
                    </a:prstGeom>
                  </pic:spPr>
                </pic:pic>
              </a:graphicData>
            </a:graphic>
          </wp:inline>
        </w:drawing>
      </w:r>
      <w:commentRangeStart w:id="30"/>
      <w:commentRangeEnd w:id="30"/>
      <w:r>
        <w:commentReference w:id="30"/>
      </w:r>
    </w:p>
    <w:p w14:paraId="44C84ED2" w14:textId="77777777" w:rsidR="009C6A68" w:rsidRDefault="009C6A68">
      <w:pPr>
        <w:pStyle w:val="NormalWeb"/>
        <w:spacing w:beforeAutospacing="0" w:afterAutospacing="0"/>
        <w:jc w:val="both"/>
        <w:rPr>
          <w:rFonts w:ascii="Garamond" w:hAnsi="Garamond" w:cstheme="majorHAnsi"/>
        </w:rPr>
      </w:pPr>
    </w:p>
    <w:p w14:paraId="5384ABB9" w14:textId="77777777" w:rsidR="009C6A68" w:rsidRDefault="00610F2D">
      <w:pPr>
        <w:pStyle w:val="NormalWeb"/>
        <w:spacing w:beforeAutospacing="0" w:afterAutospacing="0"/>
        <w:jc w:val="both"/>
        <w:rPr>
          <w:rFonts w:ascii="Garamond" w:hAnsi="Garamond" w:cstheme="majorHAnsi"/>
        </w:rPr>
      </w:pPr>
      <w:r>
        <w:rPr>
          <w:noProof/>
        </w:rPr>
        <w:drawing>
          <wp:inline distT="0" distB="0" distL="0" distR="0" wp14:anchorId="5BB32CE6" wp14:editId="03CE6633">
            <wp:extent cx="5943600" cy="3350895"/>
            <wp:effectExtent l="0" t="0" r="0" b="0"/>
            <wp:docPr id="6"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ell phone&#10;&#10;Description automatically generated"/>
                    <pic:cNvPicPr>
                      <a:picLocks noChangeAspect="1" noChangeArrowheads="1"/>
                    </pic:cNvPicPr>
                  </pic:nvPicPr>
                  <pic:blipFill>
                    <a:blip r:embed="rId13"/>
                    <a:stretch>
                      <a:fillRect/>
                    </a:stretch>
                  </pic:blipFill>
                  <pic:spPr bwMode="auto">
                    <a:xfrm>
                      <a:off x="0" y="0"/>
                      <a:ext cx="5943600" cy="3350895"/>
                    </a:xfrm>
                    <a:prstGeom prst="rect">
                      <a:avLst/>
                    </a:prstGeom>
                  </pic:spPr>
                </pic:pic>
              </a:graphicData>
            </a:graphic>
          </wp:inline>
        </w:drawing>
      </w:r>
    </w:p>
    <w:p w14:paraId="23BCC574" w14:textId="01479B81" w:rsidR="009C6A68" w:rsidRDefault="00610F2D">
      <w:pPr>
        <w:spacing w:before="120" w:after="240" w:line="260" w:lineRule="atLeast"/>
      </w:pPr>
      <w:bookmarkStart w:id="31" w:name="_Ref15858667"/>
      <w:r>
        <w:rPr>
          <w:rFonts w:ascii="Garamond" w:hAnsi="Garamond" w:cstheme="majorHAnsi"/>
          <w:b/>
          <w:bCs/>
          <w:sz w:val="20"/>
          <w:szCs w:val="20"/>
        </w:rPr>
        <w:t xml:space="preserve">Figure </w:t>
      </w:r>
      <w:bookmarkEnd w:id="31"/>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TOPMODEL and alternate model streamflow simulation in H</w:t>
      </w:r>
      <w:r>
        <w:rPr>
          <w:rFonts w:ascii="Garamond" w:hAnsi="Garamond" w:cstheme="majorHAnsi"/>
          <w:sz w:val="20"/>
          <w:szCs w:val="20"/>
        </w:rPr>
        <w:t xml:space="preserve">ubbard Brook </w:t>
      </w:r>
      <w:proofErr w:type="spellStart"/>
      <w:r>
        <w:rPr>
          <w:rFonts w:ascii="Garamond" w:hAnsi="Garamond" w:cstheme="majorHAnsi"/>
          <w:sz w:val="20"/>
          <w:szCs w:val="20"/>
        </w:rPr>
        <w:t>subcatchment</w:t>
      </w:r>
      <w:proofErr w:type="spellEnd"/>
      <w:r>
        <w:rPr>
          <w:rFonts w:ascii="Garamond" w:hAnsi="Garamond" w:cstheme="majorHAnsi"/>
          <w:sz w:val="20"/>
          <w:szCs w:val="20"/>
        </w:rPr>
        <w:t xml:space="preserve"> </w:t>
      </w:r>
      <w:r>
        <w:rPr>
          <w:rFonts w:ascii="Garamond" w:hAnsi="Garamond" w:cstheme="majorHAnsi"/>
          <w:i/>
          <w:iCs/>
          <w:sz w:val="20"/>
          <w:szCs w:val="20"/>
        </w:rPr>
        <w:t>7 for the period from June 24</w:t>
      </w:r>
      <w:r>
        <w:rPr>
          <w:rFonts w:ascii="Garamond" w:hAnsi="Garamond" w:cstheme="majorHAnsi"/>
          <w:i/>
          <w:iCs/>
          <w:sz w:val="20"/>
          <w:szCs w:val="20"/>
          <w:vertAlign w:val="superscript"/>
        </w:rPr>
        <w:t>th</w:t>
      </w:r>
      <w:r>
        <w:rPr>
          <w:rFonts w:ascii="Garamond" w:hAnsi="Garamond" w:cstheme="majorHAnsi"/>
          <w:i/>
          <w:iCs/>
          <w:sz w:val="20"/>
          <w:szCs w:val="20"/>
        </w:rPr>
        <w:t xml:space="preserve"> to July 7</w:t>
      </w:r>
      <w:r>
        <w:rPr>
          <w:rFonts w:ascii="Garamond" w:hAnsi="Garamond" w:cstheme="majorHAnsi"/>
          <w:i/>
          <w:iCs/>
          <w:sz w:val="20"/>
          <w:szCs w:val="20"/>
          <w:vertAlign w:val="superscript"/>
        </w:rPr>
        <w:t>th</w:t>
      </w:r>
      <w:r>
        <w:rPr>
          <w:rFonts w:ascii="Garamond" w:hAnsi="Garamond" w:cstheme="majorHAnsi"/>
          <w:i/>
          <w:iCs/>
          <w:sz w:val="20"/>
          <w:szCs w:val="20"/>
        </w:rPr>
        <w:t>, 2014.</w:t>
      </w:r>
      <w:r>
        <w:rPr>
          <w:rFonts w:ascii="Garamond" w:hAnsi="Garamond" w:cstheme="majorHAnsi"/>
          <w:sz w:val="20"/>
          <w:szCs w:val="20"/>
        </w:rPr>
        <w:t xml:space="preserve">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2033628F" wp14:editId="6E58CBFB">
            <wp:extent cx="5943600" cy="3301365"/>
            <wp:effectExtent l="0" t="0" r="0" b="0"/>
            <wp:docPr id="7"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close up of a map&#10;&#10;Description automatically generated"/>
                    <pic:cNvPicPr>
                      <a:picLocks noChangeAspect="1" noChangeArrowheads="1"/>
                    </pic:cNvPicPr>
                  </pic:nvPicPr>
                  <pic:blipFill>
                    <a:blip r:embed="rId14"/>
                    <a:stretch>
                      <a:fillRect/>
                    </a:stretch>
                  </pic:blipFill>
                  <pic:spPr bwMode="auto">
                    <a:xfrm>
                      <a:off x="0" y="0"/>
                      <a:ext cx="5943600" cy="3301365"/>
                    </a:xfrm>
                    <a:prstGeom prst="rect">
                      <a:avLst/>
                    </a:prstGeom>
                  </pic:spPr>
                </pic:pic>
              </a:graphicData>
            </a:graphic>
          </wp:inline>
        </w:drawing>
      </w: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77777777" w:rsidR="009C6A68" w:rsidRDefault="00610F2D">
      <w:pPr>
        <w:spacing w:line="240" w:lineRule="auto"/>
        <w:jc w:val="both"/>
        <w:rPr>
          <w:rFonts w:ascii="Garamond" w:eastAsia="Times New Roman" w:hAnsi="Garamond" w:cstheme="majorHAnsi"/>
          <w:sz w:val="24"/>
          <w:szCs w:val="24"/>
          <w:lang w:val="en-US"/>
        </w:rPr>
      </w:pPr>
      <w:r>
        <w:rPr>
          <w:noProof/>
        </w:rPr>
        <w:drawing>
          <wp:inline distT="0" distB="0" distL="0" distR="0" wp14:anchorId="5F9659B0" wp14:editId="25FB985F">
            <wp:extent cx="5943600" cy="357632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5"/>
                    <a:stretch>
                      <a:fillRect/>
                    </a:stretch>
                  </pic:blipFill>
                  <pic:spPr bwMode="auto">
                    <a:xfrm>
                      <a:off x="0" y="0"/>
                      <a:ext cx="5943600" cy="3576320"/>
                    </a:xfrm>
                    <a:prstGeom prst="rect">
                      <a:avLst/>
                    </a:prstGeom>
                  </pic:spPr>
                </pic:pic>
              </a:graphicData>
            </a:graphic>
          </wp:inline>
        </w:drawing>
      </w:r>
    </w:p>
    <w:p w14:paraId="66386F79" w14:textId="0E8FAD1C"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 for the period April 30th to June 12th, 2017. Decay parameter for transmissivity m = 0.0279, as estimated from sensitivity analysis.</w:t>
      </w:r>
      <w:commentRangeStart w:id="32"/>
      <w:commentRangeEnd w:id="32"/>
      <w:r>
        <w:commentReference w:id="32"/>
      </w:r>
    </w:p>
    <w:p w14:paraId="1E195B9C" w14:textId="77777777" w:rsidR="009C6A68" w:rsidRDefault="009C6A68">
      <w:pPr>
        <w:spacing w:line="240" w:lineRule="auto"/>
        <w:jc w:val="both"/>
        <w:rPr>
          <w:rFonts w:ascii="Garamond" w:eastAsia="Garamond" w:hAnsi="Garamond" w:cstheme="majorHAnsi"/>
          <w:sz w:val="24"/>
          <w:szCs w:val="24"/>
        </w:rPr>
      </w:pPr>
    </w:p>
    <w:p w14:paraId="4DDC43AA" w14:textId="77777777" w:rsidR="009C6A68" w:rsidRDefault="009C6A68">
      <w:pPr>
        <w:spacing w:line="240" w:lineRule="auto"/>
        <w:rPr>
          <w:rFonts w:ascii="Garamond" w:eastAsia="Garamond" w:hAnsi="Garamond" w:cstheme="majorHAnsi"/>
          <w:sz w:val="24"/>
          <w:szCs w:val="24"/>
        </w:rPr>
      </w:pPr>
    </w:p>
    <w:p w14:paraId="59EF45B7" w14:textId="77777777" w:rsidR="000E29C0" w:rsidRDefault="000E29C0" w:rsidP="000E29C0">
      <w:pPr>
        <w:spacing w:before="120" w:line="240" w:lineRule="auto"/>
        <w:jc w:val="both"/>
      </w:pPr>
      <w:r>
        <w:rPr>
          <w:rFonts w:ascii="Garamond" w:eastAsia="Garamond" w:hAnsi="Garamond" w:cstheme="majorHAnsi"/>
          <w:sz w:val="24"/>
          <w:szCs w:val="24"/>
        </w:rPr>
        <w:t>reproduced,</w:t>
      </w:r>
    </w:p>
    <w:p w14:paraId="161CC25A" w14:textId="293C7C54"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&lt;EndNote&gt;&lt;Cite&gt;&lt;Author&gt;Beven&lt;/Author&gt;&lt;Year&gt;2001&lt;/Year&gt;&lt;RecNum&gt;11&lt;/RecNum&gt;&lt;DisplayText&gt;&lt;style size="12"&gt;[11]&lt;/style&gt;&lt;/DisplayText&gt;&lt;record&gt;&lt;rec-number&gt;11&lt;/rec-number&gt;&lt;foreign-keys&gt;&lt;key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E91FB0">
        <w:rPr>
          <w:rFonts w:ascii="Garamond" w:eastAsia="Garamond" w:hAnsi="Garamond" w:cstheme="majorHAnsi"/>
          <w:noProof/>
          <w:sz w:val="24"/>
          <w:szCs w:val="24"/>
        </w:rPr>
        <w:t>[11]</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65400606" w:rsidR="009C6A68" w:rsidRDefault="00610F2D">
      <w:pPr>
        <w:spacing w:line="240" w:lineRule="auto"/>
        <w:jc w:val="both"/>
      </w:pPr>
      <w:r>
        <w:rPr>
          <w:rFonts w:ascii="Garamond" w:eastAsia="Garamond" w:hAnsi="Garamond" w:cstheme="majorHAnsi"/>
          <w:sz w:val="24"/>
          <w:szCs w:val="24"/>
        </w:rPr>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E0ACB">
        <w:rPr>
          <w:rFonts w:ascii="Garamond" w:eastAsia="Garamond" w:hAnsi="Garamond" w:cstheme="majorHAnsi"/>
          <w:sz w:val="24"/>
          <w:szCs w:val="24"/>
        </w:rPr>
        <w:instrText xml:space="preserve"> ADDIN EN.CITE &lt;EndNote&gt;&lt;Cite&gt;&lt;Author&gt;McCuen&lt;/Author&gt;&lt;Year&gt;2006&lt;/Year&gt;&lt;RecNum&gt;12&lt;/RecNum&gt;&lt;DisplayText&gt;&lt;style size="12"&gt;[12]&lt;/style&gt;&lt;/DisplayText&gt;&lt;record&gt;&lt;rec-number&gt;12&lt;/rec-number&gt;&lt;foreign-keys&gt;&lt;key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E0ACB">
        <w:rPr>
          <w:rFonts w:ascii="Garamond" w:eastAsia="Garamond" w:hAnsi="Garamond" w:cstheme="majorHAnsi"/>
          <w:noProof/>
          <w:sz w:val="24"/>
          <w:szCs w:val="24"/>
        </w:rPr>
        <w:t>[12]</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63476E">
        <w:rPr>
          <w:rFonts w:ascii="Garamond" w:eastAsia="Garamond" w:hAnsi="Garamond" w:cstheme="majorHAnsi"/>
          <w:color w:val="FF0000"/>
          <w:sz w:val="24"/>
          <w:szCs w:val="24"/>
        </w:rPr>
        <w:t>Figures</w:t>
      </w:r>
      <w:r w:rsidR="0063476E">
        <w:rPr>
          <w:rFonts w:ascii="Garamond" w:eastAsia="Garamond" w:hAnsi="Garamond" w:cstheme="majorHAnsi"/>
          <w:sz w:val="24"/>
          <w:szCs w:val="24"/>
        </w:rPr>
        <w:t xml:space="preserve"> already show systematic high discrepancies at major peaks between</w:t>
      </w:r>
      <w:r>
        <w:rPr>
          <w:rFonts w:ascii="Garamond" w:eastAsia="Garamond" w:hAnsi="Garamond" w:cstheme="majorHAnsi"/>
          <w:sz w:val="24"/>
          <w:szCs w:val="24"/>
        </w:rPr>
        <w:t xml:space="preserve"> modeled and observed streamflow</w:t>
      </w:r>
      <w:r>
        <w:commentReference w:id="33"/>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the</w:t>
      </w:r>
      <w:commentRangeStart w:id="34"/>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4"/>
      <w:r>
        <w:commentReference w:id="34"/>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6"/>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pPr>
        <w:spacing w:line="240" w:lineRule="auto"/>
        <w:jc w:val="center"/>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5"/>
      <w:commentRangeEnd w:id="35"/>
      <w:r>
        <w:commentReference w:id="35"/>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42FE987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E35590">
        <w:rPr>
          <w:rFonts w:ascii="Garamond" w:eastAsia="Garamond" w:hAnsi="Garamond" w:cstheme="majorHAnsi"/>
          <w:sz w:val="24"/>
          <w:szCs w:val="24"/>
        </w:rPr>
        <w:instrText xml:space="preserve"> ADDIN EN.CITE &lt;EndNote&gt;&lt;Cite&gt;&lt;Author&gt;Sigdel&lt;/Author&gt;&lt;Year&gt;2011&lt;/Year&gt;&lt;RecNum&gt;13&lt;/RecNum&gt;&lt;DisplayText&gt;&lt;style size="12"&gt;[13]&lt;/style&gt;&lt;/DisplayText&gt;&lt;record&gt;&lt;rec-number&gt;13&lt;/rec-number&gt;&lt;foreign-keys&gt;&lt;key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E35590">
        <w:rPr>
          <w:rFonts w:ascii="Garamond" w:eastAsia="Garamond" w:hAnsi="Garamond" w:cstheme="majorHAnsi"/>
          <w:noProof/>
          <w:sz w:val="24"/>
          <w:szCs w:val="24"/>
        </w:rPr>
        <w:t>[13]</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6"/>
      <w:commentRangeEnd w:id="36"/>
      <w:r>
        <w:commentReference w:id="36"/>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7"/>
      <w:r>
        <w:rPr>
          <w:rFonts w:ascii="Garamond" w:eastAsia="Garamond" w:hAnsi="Garamond" w:cstheme="majorHAnsi"/>
          <w:sz w:val="24"/>
          <w:szCs w:val="24"/>
        </w:rPr>
        <w:t>climate</w:t>
      </w:r>
      <w:commentRangeEnd w:id="37"/>
      <w:r>
        <w:commentReference w:id="37"/>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38"/>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38"/>
      <w:r w:rsidR="00610F2D">
        <w:commentReference w:id="38"/>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39"/>
      <w:commentRangeEnd w:id="39"/>
      <w:r w:rsidR="00610F2D">
        <w:commentReference w:id="39"/>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Supplementary Materials:</w:t>
      </w:r>
      <w:r>
        <w:rPr>
          <w:rFonts w:ascii="Garamond" w:eastAsia="Garamond" w:hAnsi="Garamond" w:cstheme="majorHAnsi"/>
          <w:sz w:val="24"/>
          <w:szCs w:val="24"/>
        </w:rPr>
        <w:t xml:space="preserve"> </w:t>
      </w:r>
    </w:p>
    <w:p w14:paraId="04FAEFEF" w14:textId="77777777" w:rsidR="009C6A68" w:rsidRDefault="00610F2D">
      <w:pPr>
        <w:spacing w:before="120" w:line="240" w:lineRule="auto"/>
        <w:jc w:val="both"/>
      </w:pPr>
      <w:r>
        <w:rPr>
          <w:rFonts w:ascii="Garamond" w:eastAsia="Garamond" w:hAnsi="Garamond" w:cstheme="majorHAnsi"/>
          <w:sz w:val="24"/>
          <w:szCs w:val="24"/>
        </w:rPr>
        <w:t xml:space="preserve">Our GitHub repository is found at </w:t>
      </w:r>
      <w:hyperlink r:id="rId17">
        <w:r>
          <w:rPr>
            <w:rStyle w:val="ListLabel1"/>
          </w:rPr>
          <w:t>https://github.com/brittbarreto/Aquaholics_Anonymous</w:t>
        </w:r>
      </w:hyperlink>
      <w:r>
        <w:rPr>
          <w:rFonts w:ascii="Garamond" w:eastAsia="Garamond" w:hAnsi="Garamond" w:cstheme="majorHAnsi"/>
          <w:sz w:val="24"/>
          <w:szCs w:val="24"/>
        </w:rPr>
        <w:t>,</w:t>
      </w:r>
      <w:commentRangeStart w:id="40"/>
      <w:commentRangeEnd w:id="40"/>
      <w:r>
        <w:commentReference w:id="40"/>
      </w:r>
      <w:r>
        <w:rPr>
          <w:rFonts w:ascii="Garamond" w:eastAsia="Garamond" w:hAnsi="Garamond" w:cstheme="majorHAnsi"/>
          <w:sz w:val="24"/>
          <w:szCs w:val="24"/>
        </w:rPr>
        <w:t xml:space="preserve"> where data sets, scripts used from R’s TOPMODEL and our alternate model’s Python scripts are tracked.</w:t>
      </w:r>
    </w:p>
    <w:p w14:paraId="29D3628A" w14:textId="77777777" w:rsidR="009C6A68" w:rsidRDefault="009C6A68">
      <w:pPr>
        <w:spacing w:before="120" w:line="240" w:lineRule="auto"/>
        <w:jc w:val="both"/>
        <w:rPr>
          <w:rFonts w:ascii="Garamond" w:eastAsia="Garamond" w:hAnsi="Garamond" w:cstheme="majorHAnsi"/>
          <w:sz w:val="24"/>
          <w:szCs w:val="24"/>
        </w:rPr>
      </w:pPr>
    </w:p>
    <w:p w14:paraId="2D78233F" w14:textId="77777777" w:rsidR="009C6A68" w:rsidRDefault="00610F2D">
      <w:pPr>
        <w:rPr>
          <w:rFonts w:ascii="Garamond" w:eastAsia="Garamond" w:hAnsi="Garamond" w:cstheme="majorHAnsi"/>
          <w:b/>
          <w:sz w:val="24"/>
          <w:szCs w:val="24"/>
        </w:rPr>
      </w:pPr>
      <w:r>
        <w:br w:type="page"/>
      </w:r>
    </w:p>
    <w:p w14:paraId="74ECFCED" w14:textId="77777777" w:rsidR="009C6A68" w:rsidRDefault="00610F2D">
      <w:pPr>
        <w:spacing w:before="240" w:after="120" w:line="260" w:lineRule="atLeast"/>
        <w:rPr>
          <w:rFonts w:ascii="Garamond" w:eastAsia="Garamond" w:hAnsi="Garamond" w:cstheme="majorHAnsi"/>
          <w:b/>
          <w:sz w:val="24"/>
          <w:szCs w:val="24"/>
        </w:rPr>
      </w:pPr>
      <w:commentRangeStart w:id="41"/>
      <w:r>
        <w:rPr>
          <w:rFonts w:ascii="Garamond" w:eastAsia="Garamond" w:hAnsi="Garamond" w:cstheme="majorHAnsi"/>
          <w:b/>
          <w:sz w:val="24"/>
          <w:szCs w:val="24"/>
        </w:rPr>
        <w:t>References</w:t>
      </w:r>
      <w:commentRangeEnd w:id="41"/>
      <w:r w:rsidR="00A5566E">
        <w:rPr>
          <w:rStyle w:val="CommentReference"/>
        </w:rPr>
        <w:commentReference w:id="41"/>
      </w:r>
    </w:p>
    <w:p w14:paraId="4354CC97" w14:textId="77777777" w:rsidR="008918E5" w:rsidRPr="008918E5" w:rsidRDefault="003A193F" w:rsidP="008918E5">
      <w:pPr>
        <w:pStyle w:val="EndNoteBibliography"/>
      </w:pPr>
      <w:r w:rsidRPr="008918E5">
        <w:rPr>
          <w:rFonts w:ascii="Garamond" w:hAnsi="Garamond"/>
          <w:sz w:val="24"/>
          <w:szCs w:val="24"/>
        </w:rPr>
        <w:fldChar w:fldCharType="begin"/>
      </w:r>
      <w:r w:rsidRPr="008918E5">
        <w:rPr>
          <w:rFonts w:ascii="Garamond" w:hAnsi="Garamond"/>
          <w:sz w:val="24"/>
          <w:szCs w:val="24"/>
        </w:rPr>
        <w:instrText xml:space="preserve"> ADDIN EN.REFLIST </w:instrText>
      </w:r>
      <w:r w:rsidRPr="008918E5">
        <w:rPr>
          <w:rFonts w:ascii="Garamond" w:hAnsi="Garamond"/>
          <w:sz w:val="24"/>
          <w:szCs w:val="24"/>
        </w:rPr>
        <w:fldChar w:fldCharType="separate"/>
      </w:r>
      <w:r w:rsidR="008918E5" w:rsidRPr="008918E5">
        <w:t>1.</w:t>
      </w:r>
      <w:r w:rsidR="008918E5" w:rsidRPr="008918E5">
        <w:tab/>
        <w:t>Beven, K.; Lamb, R.; Quinn, P.; Romanowicz, R.; Freer, J., TOPMODEL. In</w:t>
      </w:r>
      <w:r w:rsidR="008918E5" w:rsidRPr="008918E5">
        <w:rPr>
          <w:rFonts w:ascii="Symbol" w:hAnsi="Symbol"/>
        </w:rPr>
        <w:t xml:space="preserve"> </w:t>
      </w:r>
      <w:r w:rsidR="008918E5" w:rsidRPr="008918E5">
        <w:rPr>
          <w:i/>
        </w:rPr>
        <w:t>Computer Models of Watershed Hydrology</w:t>
      </w:r>
      <w:r w:rsidR="008918E5" w:rsidRPr="008918E5">
        <w:t>, 1</w:t>
      </w:r>
      <w:r w:rsidR="008918E5" w:rsidRPr="008918E5">
        <w:rPr>
          <w:rFonts w:ascii="Symbol" w:hAnsi="Symbol"/>
        </w:rPr>
        <w:t xml:space="preserve"> </w:t>
      </w:r>
      <w:r w:rsidR="008918E5" w:rsidRPr="008918E5">
        <w:t>ed.; Singh, V.,</w:t>
      </w:r>
      <w:r w:rsidR="008918E5" w:rsidRPr="008918E5">
        <w:rPr>
          <w:rFonts w:ascii="Symbol" w:hAnsi="Symbol"/>
        </w:rPr>
        <w:t xml:space="preserve"> </w:t>
      </w:r>
      <w:r w:rsidR="008918E5" w:rsidRPr="008918E5">
        <w:t>Ed.; Water Resources Publications: Highlands Ranch, CO, USA, 1995.</w:t>
      </w:r>
    </w:p>
    <w:p w14:paraId="6FF258F7" w14:textId="42B29B99" w:rsidR="008918E5" w:rsidRPr="008918E5" w:rsidRDefault="008918E5" w:rsidP="008918E5">
      <w:pPr>
        <w:pStyle w:val="EndNoteBibliography"/>
      </w:pPr>
      <w:r w:rsidRPr="008918E5">
        <w:t>2.</w:t>
      </w:r>
      <w:r w:rsidRPr="008918E5">
        <w:tab/>
        <w:t xml:space="preserve">Nourani, V.; Roughani, A.; Gebremichael, M., TOPMODEL capability for rainfall-runoff modeling of the Ammameh watershed at different time scales using different terrain algorithms. </w:t>
      </w:r>
      <w:r w:rsidRPr="008918E5">
        <w:rPr>
          <w:i/>
        </w:rPr>
        <w:t xml:space="preserve">J. Urban Environ. Eng. </w:t>
      </w:r>
      <w:r w:rsidRPr="008918E5">
        <w:rPr>
          <w:b/>
        </w:rPr>
        <w:t>2011,</w:t>
      </w:r>
      <w:r w:rsidRPr="008918E5">
        <w:t xml:space="preserve"> </w:t>
      </w:r>
      <w:r w:rsidRPr="008918E5">
        <w:rPr>
          <w:i/>
        </w:rPr>
        <w:t>5</w:t>
      </w:r>
      <w:r w:rsidRPr="008918E5">
        <w:t xml:space="preserve"> (1), 1-14, </w:t>
      </w:r>
      <w:hyperlink r:id="rId18" w:history="1">
        <w:r w:rsidRPr="008918E5">
          <w:rPr>
            <w:rStyle w:val="Hyperlink"/>
          </w:rPr>
          <w:t>https://doi.org/10.4090/juee.2011.v5n1.001014</w:t>
        </w:r>
      </w:hyperlink>
      <w:r w:rsidRPr="008918E5">
        <w:t>.</w:t>
      </w:r>
    </w:p>
    <w:p w14:paraId="7D0C52EF" w14:textId="36D634BD" w:rsidR="008918E5" w:rsidRPr="008918E5" w:rsidRDefault="008918E5" w:rsidP="008918E5">
      <w:pPr>
        <w:pStyle w:val="EndNoteBibliography"/>
      </w:pPr>
      <w:r w:rsidRPr="008918E5">
        <w:t>3.</w:t>
      </w:r>
      <w:r w:rsidRPr="008918E5">
        <w:tab/>
        <w:t xml:space="preserve">Buytaert, W., topmodel: Implementation of the hydrological model TOPMODEL in R, R package version 0.7.3, </w:t>
      </w:r>
      <w:hyperlink r:id="rId19" w:history="1">
        <w:r w:rsidRPr="008918E5">
          <w:rPr>
            <w:rStyle w:val="Hyperlink"/>
          </w:rPr>
          <w:t>https://CRAN.R-project.org/package=topmodel</w:t>
        </w:r>
      </w:hyperlink>
      <w:r w:rsidRPr="008918E5">
        <w:t>, 2018.</w:t>
      </w:r>
    </w:p>
    <w:p w14:paraId="7C105294" w14:textId="4DAE0A94" w:rsidR="008918E5" w:rsidRPr="008918E5" w:rsidRDefault="008918E5" w:rsidP="008918E5">
      <w:pPr>
        <w:pStyle w:val="EndNoteBibliography"/>
      </w:pPr>
      <w:r w:rsidRPr="008918E5">
        <w:t>4.</w:t>
      </w:r>
      <w:r w:rsidRPr="008918E5">
        <w:tab/>
        <w:t>Niu, G. Y.; Yang, Z. L.; Dickinson, R. E.; Gulden, L. E., A simple TOPMODEL</w:t>
      </w:r>
      <w:r w:rsidRPr="008918E5">
        <w:rPr>
          <w:rFonts w:ascii="Cambria Math" w:hAnsi="Cambria Math" w:cs="Cambria Math"/>
        </w:rPr>
        <w:t>‐</w:t>
      </w:r>
      <w:r w:rsidRPr="008918E5">
        <w:t xml:space="preserve">based runoff parameterization (SIMTOP) for use in global climate models. </w:t>
      </w:r>
      <w:r w:rsidRPr="008918E5">
        <w:rPr>
          <w:i/>
        </w:rPr>
        <w:t xml:space="preserve">J. Geophys. Res. Atmos. </w:t>
      </w:r>
      <w:r w:rsidRPr="008918E5">
        <w:rPr>
          <w:b/>
        </w:rPr>
        <w:t>2005,</w:t>
      </w:r>
      <w:r w:rsidRPr="008918E5">
        <w:t xml:space="preserve"> </w:t>
      </w:r>
      <w:r w:rsidRPr="008918E5">
        <w:rPr>
          <w:i/>
        </w:rPr>
        <w:t>110</w:t>
      </w:r>
      <w:r w:rsidRPr="008918E5">
        <w:t xml:space="preserve"> (D21), </w:t>
      </w:r>
      <w:hyperlink r:id="rId20" w:history="1">
        <w:r w:rsidRPr="008918E5">
          <w:rPr>
            <w:rStyle w:val="Hyperlink"/>
          </w:rPr>
          <w:t>https://doi.org/10.1029/2005JD006111</w:t>
        </w:r>
      </w:hyperlink>
      <w:r w:rsidRPr="008918E5">
        <w:t>.</w:t>
      </w:r>
    </w:p>
    <w:p w14:paraId="2F1D2D27" w14:textId="59845BEF" w:rsidR="008918E5" w:rsidRPr="008918E5" w:rsidRDefault="008918E5" w:rsidP="008918E5">
      <w:pPr>
        <w:pStyle w:val="EndNoteBibliography"/>
      </w:pPr>
      <w:r w:rsidRPr="008918E5">
        <w:t>5.</w:t>
      </w:r>
      <w:r w:rsidRPr="008918E5">
        <w:tab/>
        <w:t xml:space="preserve">Gedney, N.; Cox, P. M., The sensitivity of global climate model simulations to the representation of soil moisture heterogeneity. </w:t>
      </w:r>
      <w:r w:rsidRPr="008918E5">
        <w:rPr>
          <w:i/>
        </w:rPr>
        <w:t xml:space="preserve">J. Hydrometeorol. </w:t>
      </w:r>
      <w:r w:rsidRPr="008918E5">
        <w:rPr>
          <w:b/>
        </w:rPr>
        <w:t>2003,</w:t>
      </w:r>
      <w:r w:rsidRPr="008918E5">
        <w:t xml:space="preserve"> </w:t>
      </w:r>
      <w:r w:rsidRPr="008918E5">
        <w:rPr>
          <w:i/>
        </w:rPr>
        <w:t>4</w:t>
      </w:r>
      <w:r w:rsidRPr="008918E5">
        <w:t xml:space="preserve"> (6), 1265-1275, </w:t>
      </w:r>
      <w:hyperlink r:id="rId21" w:history="1">
        <w:r w:rsidRPr="008918E5">
          <w:rPr>
            <w:rStyle w:val="Hyperlink"/>
          </w:rPr>
          <w:t>https://doi.org/10.1175/1525-7541(2003)004</w:t>
        </w:r>
      </w:hyperlink>
      <w:r w:rsidRPr="008918E5">
        <w:t>&lt;1265:TSOGCM&gt;2.0.CO;2.</w:t>
      </w:r>
    </w:p>
    <w:p w14:paraId="50B5F0CC" w14:textId="77777777" w:rsidR="008918E5" w:rsidRPr="008918E5" w:rsidRDefault="008918E5" w:rsidP="008918E5">
      <w:pPr>
        <w:pStyle w:val="EndNoteBibliography"/>
      </w:pPr>
      <w:r w:rsidRPr="008918E5">
        <w:t>6.</w:t>
      </w:r>
      <w:r w:rsidRPr="008918E5">
        <w:tab/>
        <w:t>USDA US Forest Service, Hubbard Brook Experimental Forest.</w:t>
      </w:r>
    </w:p>
    <w:p w14:paraId="7046E821" w14:textId="69EC923A" w:rsidR="008918E5" w:rsidRPr="008918E5" w:rsidRDefault="008918E5" w:rsidP="008918E5">
      <w:pPr>
        <w:pStyle w:val="EndNoteBibliography"/>
      </w:pPr>
      <w:r w:rsidRPr="008918E5">
        <w:t>7.</w:t>
      </w:r>
      <w:r w:rsidRPr="008918E5">
        <w:tab/>
        <w:t xml:space="preserve">Cawley, K. M.; Campbell, J.; Zwilling, M.; Jaffé, R., Evaluation of forest disturbance legacy effects on dissolved organic matter characteristics in streams at the Hubbard Brook Experimental Forest, New Hampshire. </w:t>
      </w:r>
      <w:r w:rsidRPr="008918E5">
        <w:rPr>
          <w:i/>
        </w:rPr>
        <w:t xml:space="preserve">Aquat. Sci. </w:t>
      </w:r>
      <w:r w:rsidRPr="008918E5">
        <w:rPr>
          <w:b/>
        </w:rPr>
        <w:t>2014,</w:t>
      </w:r>
      <w:r w:rsidRPr="008918E5">
        <w:t xml:space="preserve"> </w:t>
      </w:r>
      <w:r w:rsidRPr="008918E5">
        <w:rPr>
          <w:i/>
        </w:rPr>
        <w:t>76</w:t>
      </w:r>
      <w:r w:rsidRPr="008918E5">
        <w:t xml:space="preserve"> (4), 611-622, </w:t>
      </w:r>
      <w:hyperlink r:id="rId22" w:history="1">
        <w:r w:rsidRPr="008918E5">
          <w:rPr>
            <w:rStyle w:val="Hyperlink"/>
          </w:rPr>
          <w:t>https://doi.org/10.1007/s00027-014-0358-3</w:t>
        </w:r>
      </w:hyperlink>
      <w:r w:rsidRPr="008918E5">
        <w:t>.</w:t>
      </w:r>
    </w:p>
    <w:p w14:paraId="1A27C054" w14:textId="2D738072" w:rsidR="008918E5" w:rsidRPr="008918E5" w:rsidRDefault="008918E5" w:rsidP="008918E5">
      <w:pPr>
        <w:pStyle w:val="EndNoteBibliography"/>
      </w:pPr>
      <w:r w:rsidRPr="008918E5">
        <w:t>8.</w:t>
      </w:r>
      <w:r w:rsidRPr="008918E5">
        <w:tab/>
        <w:t xml:space="preserve">Shanley, J. B. </w:t>
      </w:r>
      <w:r w:rsidRPr="008918E5">
        <w:rPr>
          <w:i/>
        </w:rPr>
        <w:t>Sleepers River, Vermont: A water, energy, and biogeochemical budgets program site</w:t>
      </w:r>
      <w:r w:rsidRPr="008918E5">
        <w:t xml:space="preserve">; 2327-6932; US Geological Survey Fact Sheet-166-99: 2000, </w:t>
      </w:r>
      <w:hyperlink r:id="rId23" w:history="1">
        <w:r w:rsidRPr="008918E5">
          <w:rPr>
            <w:rStyle w:val="Hyperlink"/>
          </w:rPr>
          <w:t>https://doi.org/10.3133/fs16699</w:t>
        </w:r>
      </w:hyperlink>
      <w:r w:rsidRPr="008918E5">
        <w:t>.</w:t>
      </w:r>
    </w:p>
    <w:p w14:paraId="54D60CFD" w14:textId="77777777" w:rsidR="008918E5" w:rsidRPr="008918E5" w:rsidRDefault="008918E5" w:rsidP="008918E5">
      <w:pPr>
        <w:pStyle w:val="EndNoteBibliography"/>
      </w:pPr>
      <w:r w:rsidRPr="008918E5">
        <w:t>9.</w:t>
      </w:r>
      <w:r w:rsidRPr="008918E5">
        <w:tab/>
        <w:t>Kitzmiller, D. H.; Wu, W.; Zhang, Z.; Patrick, N.; Tan, X. The Analysis of Record for Calibration: A High-Resolution Precipitation and Surface Weather Dataset for the United States.  AGU Fall Meeting Abstracts, 2018.</w:t>
      </w:r>
    </w:p>
    <w:p w14:paraId="66886A5A" w14:textId="77777777" w:rsidR="008918E5" w:rsidRPr="008918E5" w:rsidRDefault="008918E5" w:rsidP="008918E5">
      <w:pPr>
        <w:pStyle w:val="EndNoteBibliography"/>
      </w:pPr>
      <w:r w:rsidRPr="008918E5">
        <w:t>10.</w:t>
      </w:r>
      <w:r w:rsidRPr="008918E5">
        <w:tab/>
        <w:t xml:space="preserve">Jenson, S. K.; Domingue, J. O., Extracting topographic structure from digital elevation data for geographic information system analysis. </w:t>
      </w:r>
      <w:r w:rsidRPr="008918E5">
        <w:rPr>
          <w:i/>
        </w:rPr>
        <w:t xml:space="preserve">Photogramm. Eng. Remote Sensing </w:t>
      </w:r>
      <w:r w:rsidRPr="008918E5">
        <w:rPr>
          <w:b/>
        </w:rPr>
        <w:t>1988,</w:t>
      </w:r>
      <w:r w:rsidRPr="008918E5">
        <w:t xml:space="preserve"> </w:t>
      </w:r>
      <w:r w:rsidRPr="008918E5">
        <w:rPr>
          <w:i/>
        </w:rPr>
        <w:t>54</w:t>
      </w:r>
      <w:r w:rsidRPr="008918E5">
        <w:t xml:space="preserve"> (11), 1593-1600.</w:t>
      </w:r>
    </w:p>
    <w:p w14:paraId="2E969A9C" w14:textId="701FA20E" w:rsidR="008918E5" w:rsidRPr="008918E5" w:rsidRDefault="008918E5" w:rsidP="008918E5">
      <w:pPr>
        <w:pStyle w:val="EndNoteBibliography"/>
      </w:pPr>
      <w:r w:rsidRPr="008918E5">
        <w:t>11.</w:t>
      </w:r>
      <w:r w:rsidRPr="008918E5">
        <w:tab/>
        <w:t xml:space="preserve">Beven, K.; Freer, J., A dynamic topmodel. </w:t>
      </w:r>
      <w:r w:rsidRPr="008918E5">
        <w:rPr>
          <w:i/>
        </w:rPr>
        <w:t xml:space="preserve">Hydrol. Process. </w:t>
      </w:r>
      <w:r w:rsidRPr="008918E5">
        <w:rPr>
          <w:b/>
        </w:rPr>
        <w:t>2001,</w:t>
      </w:r>
      <w:r w:rsidRPr="008918E5">
        <w:t xml:space="preserve"> </w:t>
      </w:r>
      <w:r w:rsidRPr="008918E5">
        <w:rPr>
          <w:i/>
        </w:rPr>
        <w:t>15</w:t>
      </w:r>
      <w:r w:rsidRPr="008918E5">
        <w:t xml:space="preserve"> (10), 1993-2011, </w:t>
      </w:r>
      <w:hyperlink r:id="rId24" w:history="1">
        <w:r w:rsidRPr="008918E5">
          <w:rPr>
            <w:rStyle w:val="Hyperlink"/>
          </w:rPr>
          <w:t>https://doi.org/10.1002/hyp.252</w:t>
        </w:r>
      </w:hyperlink>
      <w:r w:rsidRPr="008918E5">
        <w:t>.</w:t>
      </w:r>
    </w:p>
    <w:p w14:paraId="67CCE9FF" w14:textId="6767BD89" w:rsidR="008918E5" w:rsidRPr="008918E5" w:rsidRDefault="008918E5" w:rsidP="008918E5">
      <w:pPr>
        <w:pStyle w:val="EndNoteBibliography"/>
      </w:pPr>
      <w:r w:rsidRPr="008918E5">
        <w:t>12.</w:t>
      </w:r>
      <w:r w:rsidRPr="008918E5">
        <w:tab/>
        <w:t xml:space="preserve">McCuen, R. H.; Knight, Z.; Cutter, A. G., Evaluation of the Nash–Sutcliffe efficiency index. </w:t>
      </w:r>
      <w:r w:rsidRPr="008918E5">
        <w:rPr>
          <w:i/>
        </w:rPr>
        <w:t xml:space="preserve">J. Hydrol. Eng. </w:t>
      </w:r>
      <w:r w:rsidRPr="008918E5">
        <w:rPr>
          <w:b/>
        </w:rPr>
        <w:t>2006,</w:t>
      </w:r>
      <w:r w:rsidRPr="008918E5">
        <w:t xml:space="preserve"> </w:t>
      </w:r>
      <w:r w:rsidRPr="008918E5">
        <w:rPr>
          <w:i/>
        </w:rPr>
        <w:t>11</w:t>
      </w:r>
      <w:r w:rsidRPr="008918E5">
        <w:t xml:space="preserve"> (6), 597-602, </w:t>
      </w:r>
      <w:hyperlink r:id="rId25" w:history="1">
        <w:r w:rsidRPr="008918E5">
          <w:rPr>
            <w:rStyle w:val="Hyperlink"/>
          </w:rPr>
          <w:t>https://doi.org/10.1061/(ASCE)1084-0699(2006)11:6(597</w:t>
        </w:r>
      </w:hyperlink>
      <w:r w:rsidRPr="008918E5">
        <w:t>).</w:t>
      </w:r>
    </w:p>
    <w:p w14:paraId="18C508EF" w14:textId="7629C4E5" w:rsidR="008918E5" w:rsidRPr="008918E5" w:rsidRDefault="008918E5" w:rsidP="008918E5">
      <w:pPr>
        <w:pStyle w:val="EndNoteBibliography"/>
      </w:pPr>
      <w:r w:rsidRPr="008918E5">
        <w:t>13.</w:t>
      </w:r>
      <w:r w:rsidRPr="008918E5">
        <w:tab/>
        <w:t xml:space="preserve">Sigdel, A.; Jha, R.; Bhatta, D.; Abou-Shanab, R. A.; Sapireddy, V. R.; Jeon, B.-H., Applicability of TOPMODEL in the catchments of Nepal: Bagmati River Basin. </w:t>
      </w:r>
      <w:r w:rsidRPr="008918E5">
        <w:rPr>
          <w:i/>
        </w:rPr>
        <w:t xml:space="preserve">Geosyst. Eng. </w:t>
      </w:r>
      <w:r w:rsidRPr="008918E5">
        <w:rPr>
          <w:b/>
        </w:rPr>
        <w:t>2011,</w:t>
      </w:r>
      <w:r w:rsidRPr="008918E5">
        <w:t xml:space="preserve"> </w:t>
      </w:r>
      <w:r w:rsidRPr="008918E5">
        <w:rPr>
          <w:i/>
        </w:rPr>
        <w:t>14</w:t>
      </w:r>
      <w:r w:rsidRPr="008918E5">
        <w:t xml:space="preserve"> (4), 181-190, </w:t>
      </w:r>
      <w:hyperlink r:id="rId26" w:history="1">
        <w:r w:rsidRPr="008918E5">
          <w:rPr>
            <w:rStyle w:val="Hyperlink"/>
          </w:rPr>
          <w:t>https://doi.org/10.1080/12269328.2011.10541349</w:t>
        </w:r>
      </w:hyperlink>
      <w:r w:rsidRPr="008918E5">
        <w:t>.</w:t>
      </w:r>
    </w:p>
    <w:p w14:paraId="34C45103" w14:textId="35299EFC" w:rsidR="009C6A68" w:rsidRDefault="003A193F" w:rsidP="008918E5">
      <w:pPr>
        <w:widowControl w:val="0"/>
        <w:spacing w:line="240" w:lineRule="auto"/>
        <w:ind w:left="360" w:hanging="317"/>
        <w:jc w:val="both"/>
        <w:rPr>
          <w:rFonts w:ascii="Garamond" w:hAnsi="Garamond"/>
          <w:sz w:val="24"/>
          <w:szCs w:val="24"/>
        </w:rPr>
      </w:pPr>
      <w:r w:rsidRPr="008918E5">
        <w:rPr>
          <w:rFonts w:ascii="Garamond" w:hAnsi="Garamond"/>
          <w:sz w:val="24"/>
          <w:szCs w:val="24"/>
        </w:rPr>
        <w:fldChar w:fldCharType="end"/>
      </w:r>
    </w:p>
    <w:p w14:paraId="54899CDF" w14:textId="3E540AA0" w:rsidR="008918E5" w:rsidRDefault="008918E5" w:rsidP="008918E5">
      <w:pPr>
        <w:widowControl w:val="0"/>
        <w:spacing w:line="240" w:lineRule="auto"/>
        <w:ind w:left="360" w:hanging="317"/>
        <w:jc w:val="both"/>
        <w:rPr>
          <w:rFonts w:ascii="Garamond" w:hAnsi="Garamond"/>
          <w:sz w:val="24"/>
          <w:szCs w:val="24"/>
        </w:rPr>
      </w:pPr>
    </w:p>
    <w:p w14:paraId="350ED655" w14:textId="77777777" w:rsidR="008918E5" w:rsidRPr="008918E5" w:rsidRDefault="008918E5" w:rsidP="008918E5">
      <w:pPr>
        <w:widowControl w:val="0"/>
        <w:spacing w:line="240" w:lineRule="auto"/>
        <w:jc w:val="both"/>
        <w:rPr>
          <w:rFonts w:ascii="Garamond" w:hAnsi="Garamond"/>
          <w:sz w:val="24"/>
          <w:szCs w:val="24"/>
        </w:rPr>
      </w:pPr>
    </w:p>
    <w:sectPr w:rsidR="008918E5" w:rsidRPr="008918E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ed L. Ogden" w:date="2019-08-14T12:19:00Z" w:initials="FLO">
    <w:p w14:paraId="6C7A2BC1" w14:textId="77777777" w:rsidR="009C6A68" w:rsidRDefault="00610F2D">
      <w:r>
        <w:rPr>
          <w:sz w:val="20"/>
        </w:rPr>
        <w:t>Among other things....</w:t>
      </w:r>
    </w:p>
  </w:comment>
  <w:comment w:id="2" w:author="Fred L. Ogden" w:date="2019-08-14T12:19:00Z" w:initials="FLO">
    <w:p w14:paraId="25ED86D2" w14:textId="77777777" w:rsidR="009C6A68" w:rsidRDefault="00610F2D">
      <w:r>
        <w:rPr>
          <w:sz w:val="20"/>
        </w:rPr>
        <w:t>What kind of efficiency?</w:t>
      </w:r>
    </w:p>
  </w:comment>
  <w:comment w:id="3" w:author="Ishrat Jahan Dollan" w:date="2019-08-18T00:45:00Z" w:initials="IJD">
    <w:p w14:paraId="321BB338" w14:textId="0A189F01" w:rsidR="00CE31AF" w:rsidRDefault="00CE31AF">
      <w:pPr>
        <w:pStyle w:val="CommentText"/>
      </w:pPr>
      <w:r>
        <w:rPr>
          <w:rStyle w:val="CommentReference"/>
        </w:rPr>
        <w:annotationRef/>
      </w:r>
      <w:r>
        <w:t>Computational?</w:t>
      </w:r>
      <w:bookmarkStart w:id="4" w:name="_GoBack"/>
      <w:bookmarkEnd w:id="4"/>
    </w:p>
  </w:comment>
  <w:comment w:id="5" w:author="Danielle Tijerina" w:date="2019-08-14T16:13:00Z" w:initials="DT">
    <w:p w14:paraId="36FD1176" w14:textId="77777777" w:rsidR="00610F2D" w:rsidRPr="00610F2D" w:rsidRDefault="00610F2D"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610F2D" w:rsidRDefault="00610F2D">
      <w:pPr>
        <w:pStyle w:val="CommentText"/>
      </w:pPr>
      <w:r>
        <w:t>Should have something though</w:t>
      </w:r>
    </w:p>
  </w:comment>
  <w:comment w:id="6" w:author="Fred L. Ogden" w:date="2019-08-14T12:20:00Z" w:initials="FLO">
    <w:p w14:paraId="2459FBEF" w14:textId="77777777" w:rsidR="009C6A68" w:rsidRDefault="00610F2D">
      <w:r>
        <w:rPr>
          <w:sz w:val="20"/>
        </w:rPr>
        <w:t xml:space="preserve">don’t write using parentheticals.   They should be used only to convey ancillary information like </w:t>
      </w:r>
      <w:proofErr w:type="gramStart"/>
      <w:r>
        <w:rPr>
          <w:sz w:val="20"/>
        </w:rPr>
        <w:t>units</w:t>
      </w:r>
      <w:proofErr w:type="gramEnd"/>
      <w:r>
        <w:rPr>
          <w:sz w:val="20"/>
        </w:rPr>
        <w:t xml:space="preserve"> conversion factors.   If it is worth writing, put it in a sentence.</w:t>
      </w:r>
    </w:p>
  </w:comment>
  <w:comment w:id="7" w:author="Fred L. Ogden" w:date="2019-08-14T12:41:00Z" w:initials="FLO">
    <w:p w14:paraId="70CED9E7" w14:textId="77777777" w:rsidR="009C6A68" w:rsidRDefault="00610F2D">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8" w:author="Fred L. Ogden" w:date="2019-08-14T12:43:00Z" w:initials="FLO">
    <w:p w14:paraId="4A8A78E4" w14:textId="750B202B" w:rsidR="009C6A68" w:rsidRDefault="00610F2D">
      <w:r>
        <w:rPr>
          <w:sz w:val="20"/>
        </w:rPr>
        <w:t>don’t you need to cite the developer here?  (</w:t>
      </w:r>
      <w:proofErr w:type="spellStart"/>
      <w:r>
        <w:rPr>
          <w:sz w:val="20"/>
        </w:rPr>
        <w:t>Bataert</w:t>
      </w:r>
      <w:proofErr w:type="spellEnd"/>
      <w:r>
        <w:rPr>
          <w:sz w:val="20"/>
        </w:rPr>
        <w:t xml:space="preserve"> et al. ??)</w:t>
      </w:r>
    </w:p>
  </w:comment>
  <w:comment w:id="9" w:author="Fred L. Ogden" w:date="2019-08-14T12:25:00Z" w:initials="FLO">
    <w:p w14:paraId="3D4C93FA" w14:textId="77777777" w:rsidR="009C6A68" w:rsidRDefault="00610F2D">
      <w:r>
        <w:rPr>
          <w:sz w:val="20"/>
        </w:rPr>
        <w:t>Add this.</w:t>
      </w:r>
    </w:p>
  </w:comment>
  <w:comment w:id="10" w:author="Fred L. Ogden" w:date="2019-08-14T13:58:00Z" w:initials="FLO">
    <w:p w14:paraId="70E76C7F" w14:textId="6DF249B6" w:rsidR="009C6A68" w:rsidRDefault="00610F2D">
      <w:r>
        <w:rPr>
          <w:sz w:val="20"/>
        </w:rPr>
        <w:t xml:space="preserve">A phrase involving two to-be verbs separated by a long string of words isn’t great practice.  </w:t>
      </w:r>
    </w:p>
  </w:comment>
  <w:comment w:id="11" w:author="Fred L. Ogden" w:date="2019-08-14T14:01:00Z" w:initials="FLO">
    <w:p w14:paraId="793A422A" w14:textId="251552B6" w:rsidR="009C6A68" w:rsidRDefault="00610F2D">
      <w:r>
        <w:rPr>
          <w:sz w:val="20"/>
        </w:rPr>
        <w:t>Cannot capture the dynamics of ... that has a response time on the order of hours.</w:t>
      </w:r>
    </w:p>
  </w:comment>
  <w:comment w:id="12" w:author="Fred L. Ogden" w:date="2019-08-14T14:39:00Z" w:initials="FLO">
    <w:p w14:paraId="4B09332D" w14:textId="77777777" w:rsidR="009C6A68" w:rsidRDefault="00610F2D">
      <w:r>
        <w:rPr>
          <w:sz w:val="20"/>
        </w:rPr>
        <w:t>Surprising that there isn’t a figure of some kind to illustrate the formulation of the “alternative” model.</w:t>
      </w:r>
    </w:p>
  </w:comment>
  <w:comment w:id="15" w:author="Fred L. Ogden" w:date="2019-08-14T14:05:00Z" w:initials="FLO">
    <w:p w14:paraId="1D6BBF53" w14:textId="77777777" w:rsidR="009C6A68" w:rsidRDefault="00610F2D">
      <w:r>
        <w:rPr>
          <w:sz w:val="20"/>
        </w:rPr>
        <w:t>This should be mm d</w:t>
      </w:r>
      <w:proofErr w:type="gramStart"/>
      <w:r>
        <w:rPr>
          <w:sz w:val="20"/>
        </w:rPr>
        <w:t>^(</w:t>
      </w:r>
      <w:proofErr w:type="gramEnd"/>
      <w:r>
        <w:rPr>
          <w:sz w:val="20"/>
        </w:rPr>
        <w:t>-1)</w:t>
      </w:r>
    </w:p>
  </w:comment>
  <w:comment w:id="16" w:author="Fred L. Ogden" w:date="2019-08-14T14:05:00Z" w:initials="FLO">
    <w:p w14:paraId="49978834" w14:textId="77777777" w:rsidR="009C6A68" w:rsidRDefault="00610F2D">
      <w:r>
        <w:rPr>
          <w:sz w:val="20"/>
        </w:rPr>
        <w:t>Why mention m d^-</w:t>
      </w:r>
      <w:proofErr w:type="gramStart"/>
      <w:r>
        <w:rPr>
          <w:sz w:val="20"/>
        </w:rPr>
        <w:t>1 ?</w:t>
      </w:r>
      <w:proofErr w:type="gramEnd"/>
      <w:r>
        <w:rPr>
          <w:sz w:val="20"/>
        </w:rPr>
        <w:t xml:space="preserve">    An awkward unit seldom used.</w:t>
      </w:r>
    </w:p>
  </w:comment>
  <w:comment w:id="17" w:author="Fred L. Ogden" w:date="2019-08-14T14:07:00Z" w:initials="FLO">
    <w:p w14:paraId="5550FD71" w14:textId="77777777" w:rsidR="009C6A68" w:rsidRDefault="00610F2D">
      <w:r>
        <w:rPr>
          <w:sz w:val="20"/>
        </w:rPr>
        <w:t>Reference.</w:t>
      </w:r>
    </w:p>
  </w:comment>
  <w:comment w:id="18" w:author="Fred L. Ogden" w:date="2019-08-14T14:14:00Z" w:initials="FLO">
    <w:p w14:paraId="1F17CDFE" w14:textId="77777777" w:rsidR="009C6A68" w:rsidRDefault="00610F2D">
      <w:r>
        <w:rPr>
          <w:sz w:val="20"/>
        </w:rPr>
        <w:t>ditto</w:t>
      </w:r>
    </w:p>
  </w:comment>
  <w:comment w:id="19" w:author="Fred L. Ogden" w:date="2019-08-14T14:14:00Z" w:initials="FLO">
    <w:p w14:paraId="6F463900" w14:textId="77777777" w:rsidR="009C6A68" w:rsidRDefault="00610F2D">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shall be subscripted, super... &amp;c.</w:t>
      </w:r>
    </w:p>
  </w:comment>
  <w:comment w:id="20" w:author="Fred L. Ogden" w:date="2019-08-14T14:15:00Z" w:initials="FLO">
    <w:p w14:paraId="7405A9E3" w14:textId="77777777" w:rsidR="009C6A68" w:rsidRDefault="00610F2D">
      <w:r>
        <w:rPr>
          <w:sz w:val="20"/>
        </w:rPr>
        <w:t>Model</w:t>
      </w:r>
    </w:p>
  </w:comment>
  <w:comment w:id="21" w:author="Fred L. Ogden" w:date="2019-08-14T14:16:00Z" w:initials="FLO">
    <w:p w14:paraId="4F5AC149" w14:textId="77777777" w:rsidR="009C6A68" w:rsidRDefault="00610F2D">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22" w:author="Fred L. Ogden" w:date="2019-08-14T14:17:00Z" w:initials="FLO">
    <w:p w14:paraId="67B5F6DE" w14:textId="77777777" w:rsidR="009C6A68" w:rsidRDefault="00610F2D">
      <w:r>
        <w:rPr>
          <w:sz w:val="20"/>
        </w:rPr>
        <w:t xml:space="preserve">This is not a figure.   It is an inset at best- don’t call it a figure.   You can put it 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23" w:author="Federico Antolini" w:date="2019-08-17T18:34:00Z" w:initials="FA">
    <w:p w14:paraId="33BB1CDB" w14:textId="5E0FCEF9" w:rsidR="00AE0BB6" w:rsidRDefault="00AE0BB6">
      <w:pPr>
        <w:pStyle w:val="CommentText"/>
      </w:pPr>
      <w:r>
        <w:rPr>
          <w:rStyle w:val="CommentReference"/>
        </w:rPr>
        <w:annotationRef/>
      </w:r>
      <w:r>
        <w:t>Journals in field of computation common</w:t>
      </w:r>
      <w:r w:rsidR="00265DFE">
        <w:t>ly</w:t>
      </w:r>
      <w:r>
        <w:t xml:space="preserve"> refer to these as </w:t>
      </w:r>
      <w:r w:rsidR="00265DFE">
        <w:t>F</w:t>
      </w:r>
      <w:r>
        <w:t>igures</w:t>
      </w:r>
      <w:r w:rsidR="00265DFE">
        <w:t>. Others use the word Algorithms (</w:t>
      </w:r>
      <w:hyperlink r:id="rId2" w:history="1">
        <w:r w:rsidR="00265DFE">
          <w:rPr>
            <w:rStyle w:val="Hyperlink"/>
          </w:rPr>
          <w:t>https://www.sciencedirect.com/science/article/pii/S0309170818307322</w:t>
        </w:r>
      </w:hyperlink>
      <w:r w:rsidR="00265DFE">
        <w:t>).</w:t>
      </w:r>
    </w:p>
  </w:comment>
  <w:comment w:id="25" w:author="Fred L. Ogden" w:date="2019-08-14T14:40:00Z" w:initials="FLO">
    <w:p w14:paraId="4ACC8B53" w14:textId="77777777" w:rsidR="009C6A68" w:rsidRDefault="00610F2D">
      <w:r>
        <w:rPr>
          <w:sz w:val="20"/>
        </w:rPr>
        <w:t>Characterizes?   Describes?   A figure and/or schematic would be helpful in terms of getting the points across.</w:t>
      </w:r>
    </w:p>
  </w:comment>
  <w:comment w:id="27" w:author="Fred L. Ogden" w:date="2019-08-14T14:19:00Z" w:initials="FLO">
    <w:p w14:paraId="39B60F3E" w14:textId="77777777" w:rsidR="00261DD8" w:rsidRDefault="00261DD8" w:rsidP="00261DD8">
      <w:proofErr w:type="gramStart"/>
      <w:r>
        <w:rPr>
          <w:sz w:val="20"/>
        </w:rPr>
        <w:t>Also</w:t>
      </w:r>
      <w:proofErr w:type="gramEnd"/>
      <w:r>
        <w:rPr>
          <w:sz w:val="20"/>
        </w:rPr>
        <w:t xml:space="preserve"> not a figure.  Box.</w:t>
      </w:r>
    </w:p>
  </w:comment>
  <w:comment w:id="28" w:author="Federico Antolini" w:date="2019-08-17T18:18:00Z" w:initials="FA">
    <w:p w14:paraId="1D2790BE" w14:textId="4BD8D991" w:rsidR="00261DD8" w:rsidRDefault="00261DD8">
      <w:pPr>
        <w:pStyle w:val="CommentText"/>
      </w:pPr>
      <w:r>
        <w:rPr>
          <w:rStyle w:val="CommentReference"/>
        </w:rPr>
        <w:annotationRef/>
      </w:r>
      <w:r>
        <w:t>Ditto</w:t>
      </w:r>
    </w:p>
  </w:comment>
  <w:comment w:id="29" w:author="Fred L. Ogden" w:date="2019-08-14T14:19:00Z" w:initials="FLO">
    <w:p w14:paraId="25037A5F" w14:textId="77777777" w:rsidR="009C6A68" w:rsidRDefault="00610F2D">
      <w:r>
        <w:rPr>
          <w:sz w:val="20"/>
        </w:rPr>
        <w:t xml:space="preserve">, for </w:t>
      </w:r>
      <w:proofErr w:type="spellStart"/>
      <w:r>
        <w:rPr>
          <w:sz w:val="20"/>
        </w:rPr>
        <w:t>subcatchment</w:t>
      </w:r>
      <w:proofErr w:type="spellEnd"/>
      <w:r>
        <w:rPr>
          <w:sz w:val="20"/>
        </w:rPr>
        <w:t xml:space="preserve"> #7.</w:t>
      </w:r>
    </w:p>
  </w:comment>
  <w:comment w:id="30" w:author="Fred L. Ogden" w:date="2019-08-14T14:20:00Z" w:initials="FLO">
    <w:p w14:paraId="117A5A31" w14:textId="77777777" w:rsidR="009C6A68" w:rsidRDefault="00610F2D">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w:t>
      </w:r>
      <w:proofErr w:type="gramStart"/>
      <w:r>
        <w:rPr>
          <w:sz w:val="20"/>
          <w:lang w:val="en-US"/>
        </w:rPr>
        <w:t>actually together</w:t>
      </w:r>
      <w:proofErr w:type="gramEnd"/>
      <w:r>
        <w:rPr>
          <w:sz w:val="20"/>
          <w:lang w:val="en-US"/>
        </w:rPr>
        <w:t>?</w:t>
      </w:r>
    </w:p>
  </w:comment>
  <w:comment w:id="32" w:author="Fred L. Ogden" w:date="2019-08-14T14:21:00Z" w:initials="FLO">
    <w:p w14:paraId="1DE2CED0" w14:textId="77777777" w:rsidR="009C6A68" w:rsidRDefault="00610F2D">
      <w:r>
        <w:rPr>
          <w:sz w:val="20"/>
        </w:rPr>
        <w:t xml:space="preserve">Ditto- are these figs. Supposed to be </w:t>
      </w:r>
      <w:r w:rsidR="00A5566E">
        <w:rPr>
          <w:sz w:val="20"/>
        </w:rPr>
        <w:t>together</w:t>
      </w:r>
      <w:r>
        <w:rPr>
          <w:sz w:val="20"/>
        </w:rPr>
        <w:t xml:space="preserve"> as one figure?   Can you not glue them together, force them to appear on the same page, together?</w:t>
      </w:r>
    </w:p>
  </w:comment>
  <w:comment w:id="33" w:author="Fred L. Ogden" w:date="2019-08-14T14:22:00Z" w:initials="FLO">
    <w:p w14:paraId="68C0B56F" w14:textId="77777777" w:rsidR="009C6A68" w:rsidRDefault="00610F2D">
      <w:r>
        <w:rPr>
          <w:sz w:val="20"/>
        </w:rPr>
        <w:t xml:space="preserve">I disagree.   Visual </w:t>
      </w:r>
      <w:r w:rsidR="00A5566E">
        <w:rPr>
          <w:sz w:val="20"/>
        </w:rPr>
        <w:t>comparison</w:t>
      </w:r>
      <w:r>
        <w:rPr>
          <w:sz w:val="20"/>
        </w:rPr>
        <w:t xml:space="preserve"> is vague.   Subjective.  Non-quantitative.  </w:t>
      </w:r>
    </w:p>
  </w:comment>
  <w:comment w:id="34" w:author="Fred L. Ogden" w:date="2019-08-14T14:23:00Z" w:initials="FLO">
    <w:p w14:paraId="66007BD7" w14:textId="77777777" w:rsidR="009C6A68" w:rsidRDefault="00610F2D">
      <w:r>
        <w:rPr>
          <w:sz w:val="20"/>
        </w:rPr>
        <w:t>Don’t you mean “outflow rate per unit area” or “runoff rate”?</w:t>
      </w:r>
    </w:p>
  </w:comment>
  <w:comment w:id="35" w:author="Fred L. Ogden" w:date="2019-08-14T14:25:00Z" w:initials="FLO">
    <w:p w14:paraId="3B9BD853" w14:textId="77777777" w:rsidR="009C6A68" w:rsidRDefault="00610F2D">
      <w:r>
        <w:rPr>
          <w:sz w:val="20"/>
        </w:rPr>
        <w:t>Motivation for this study arises from the need for...</w:t>
      </w:r>
    </w:p>
  </w:comment>
  <w:comment w:id="36" w:author="Fred L. Ogden" w:date="2019-08-14T14:26:00Z" w:initials="FLO">
    <w:p w14:paraId="64C6AD3C" w14:textId="77777777" w:rsidR="009C6A68" w:rsidRDefault="00610F2D">
      <w:r>
        <w:rPr>
          <w:sz w:val="20"/>
        </w:rPr>
        <w:t>With shallow, highly permeable soils</w:t>
      </w:r>
    </w:p>
  </w:comment>
  <w:comment w:id="37" w:author="Fred L. Ogden" w:date="2019-08-14T14:27:00Z" w:initials="FLO">
    <w:p w14:paraId="34F0C2C5" w14:textId="77777777" w:rsidR="009C6A68" w:rsidRDefault="00610F2D">
      <w:r>
        <w:rPr>
          <w:sz w:val="20"/>
        </w:rPr>
        <w:t xml:space="preserve">Simplistic to assert that climate is the sole </w:t>
      </w:r>
      <w:r w:rsidR="00A5566E">
        <w:rPr>
          <w:sz w:val="20"/>
        </w:rPr>
        <w:t>discriminant</w:t>
      </w:r>
      <w:r>
        <w:rPr>
          <w:sz w:val="20"/>
        </w:rPr>
        <w:t xml:space="preserve"> factor.   </w:t>
      </w:r>
    </w:p>
  </w:comment>
  <w:comment w:id="38" w:author="Fred L. Ogden" w:date="2019-08-14T14:27:00Z" w:initials="FLO">
    <w:p w14:paraId="136CCF98" w14:textId="77777777" w:rsidR="009C6A68" w:rsidRDefault="00610F2D">
      <w:r>
        <w:rPr>
          <w:sz w:val="20"/>
        </w:rPr>
        <w:t xml:space="preserve">That was never the objective.  The objective was to explore </w:t>
      </w:r>
      <w:r w:rsidR="00A5566E">
        <w:rPr>
          <w:sz w:val="20"/>
        </w:rPr>
        <w:t>possibilities</w:t>
      </w:r>
      <w:r>
        <w:rPr>
          <w:sz w:val="20"/>
        </w:rPr>
        <w:t>.</w:t>
      </w:r>
    </w:p>
  </w:comment>
  <w:comment w:id="39" w:author="Fred L. Ogden" w:date="2019-08-14T14:27:00Z" w:initials="FLO">
    <w:p w14:paraId="5064AD65" w14:textId="77777777" w:rsidR="009C6A68" w:rsidRDefault="00610F2D">
      <w:r>
        <w:rPr>
          <w:sz w:val="20"/>
        </w:rPr>
        <w:t>Very surprised that the importance of the specific yield parameter is not mentioned at all in this report.  It appears only in the pseudocode with no explanation of how/why it is applied.</w:t>
      </w:r>
    </w:p>
    <w:p w14:paraId="415CD7DA" w14:textId="77777777" w:rsidR="009C6A68" w:rsidRDefault="009C6A68"/>
    <w:p w14:paraId="21D1B012" w14:textId="77777777" w:rsidR="009C6A68" w:rsidRDefault="00610F2D">
      <w:r>
        <w:rPr>
          <w:sz w:val="20"/>
        </w:rPr>
        <w:t>Need a table of model parameters?</w:t>
      </w:r>
    </w:p>
  </w:comment>
  <w:comment w:id="40" w:author="Fred L. Ogden" w:date="2019-08-14T14:24:00Z" w:initials="FLO">
    <w:p w14:paraId="045C6F45" w14:textId="77777777" w:rsidR="009C6A68" w:rsidRDefault="00610F2D">
      <w:r>
        <w:rPr>
          <w:sz w:val="20"/>
        </w:rPr>
        <w:t xml:space="preserve">Update to include the actual 2019SI </w:t>
      </w:r>
      <w:proofErr w:type="spellStart"/>
      <w:r>
        <w:rPr>
          <w:sz w:val="20"/>
        </w:rPr>
        <w:t>github</w:t>
      </w:r>
      <w:proofErr w:type="spellEnd"/>
      <w:r>
        <w:rPr>
          <w:sz w:val="20"/>
        </w:rPr>
        <w:t xml:space="preserve"> site.</w:t>
      </w:r>
    </w:p>
  </w:comment>
  <w:comment w:id="41" w:author="Danielle Tijerina" w:date="2019-08-14T16:05:00Z" w:initials="DT">
    <w:p w14:paraId="69255D8A" w14:textId="77777777" w:rsidR="00A5566E" w:rsidRDefault="00A5566E">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A5566E" w:rsidRDefault="00A5566E">
      <w:pPr>
        <w:pStyle w:val="CommentText"/>
      </w:pPr>
    </w:p>
    <w:p w14:paraId="7BEF9E02" w14:textId="77777777" w:rsidR="00A5566E" w:rsidRDefault="00A5566E">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0"/>
  <w15:commentEx w15:paraId="25ED86D2" w15:done="0"/>
  <w15:commentEx w15:paraId="321BB338" w15:paraIdParent="25ED86D2" w15:done="0"/>
  <w15:commentEx w15:paraId="0BA4241A" w15:done="0"/>
  <w15:commentEx w15:paraId="2459FBEF" w15:done="1"/>
  <w15:commentEx w15:paraId="70CED9E7" w15:done="0"/>
  <w15:commentEx w15:paraId="4A8A78E4" w15:done="0"/>
  <w15:commentEx w15:paraId="3D4C93FA" w15:done="1"/>
  <w15:commentEx w15:paraId="70E76C7F" w15:done="1"/>
  <w15:commentEx w15:paraId="793A422A" w15:done="1"/>
  <w15:commentEx w15:paraId="4B09332D" w15:done="0"/>
  <w15:commentEx w15:paraId="1D6BBF53" w15:done="1"/>
  <w15:commentEx w15:paraId="49978834" w15:done="0"/>
  <w15:commentEx w15:paraId="5550FD71" w15:done="0"/>
  <w15:commentEx w15:paraId="1F17CDFE" w15:done="0"/>
  <w15:commentEx w15:paraId="6F463900" w15:done="1"/>
  <w15:commentEx w15:paraId="7405A9E3" w15:done="1"/>
  <w15:commentEx w15:paraId="4F5AC149" w15:done="0"/>
  <w15:commentEx w15:paraId="67B5F6DE" w15:done="0"/>
  <w15:commentEx w15:paraId="33BB1CDB" w15:paraIdParent="67B5F6DE" w15:done="0"/>
  <w15:commentEx w15:paraId="4ACC8B53" w15:done="0"/>
  <w15:commentEx w15:paraId="39B60F3E" w15:done="0"/>
  <w15:commentEx w15:paraId="1D2790BE" w15:paraIdParent="39B60F3E" w15:done="0"/>
  <w15:commentEx w15:paraId="25037A5F" w15:done="1"/>
  <w15:commentEx w15:paraId="117A5A31" w15:done="0"/>
  <w15:commentEx w15:paraId="1DE2CED0" w15:done="0"/>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045C6F45" w15:done="0"/>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321BB338" w16cid:durableId="21031E19"/>
  <w16cid:commentId w16cid:paraId="0BA4241A" w16cid:durableId="20FEB1A2"/>
  <w16cid:commentId w16cid:paraId="2459FBEF" w16cid:durableId="20FEAE3F"/>
  <w16cid:commentId w16cid:paraId="70CED9E7" w16cid:durableId="20FEAE41"/>
  <w16cid:commentId w16cid:paraId="4A8A78E4" w16cid:durableId="20FEAE42"/>
  <w16cid:commentId w16cid:paraId="3D4C93FA" w16cid:durableId="20FEAE43"/>
  <w16cid:commentId w16cid:paraId="70E76C7F" w16cid:durableId="20FEAE46"/>
  <w16cid:commentId w16cid:paraId="4B09332D" w16cid:durableId="20FEAE48"/>
  <w16cid:commentId w16cid:paraId="1D6BBF53" w16cid:durableId="20FEAE4B"/>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67B5F6DE" w16cid:durableId="20FEAE53"/>
  <w16cid:commentId w16cid:paraId="33BB1CDB" w16cid:durableId="2102C73A"/>
  <w16cid:commentId w16cid:paraId="4ACC8B53" w16cid:durableId="20FEAE54"/>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045C6F45" w16cid:durableId="20FEAE63"/>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hrat Jahan Dollan">
    <w15:presenceInfo w15:providerId="AD" w15:userId="S::idollan@masonlive.gmu.edu::381a2c8b-eaa6-42b9-b47a-dc50c61175ce"/>
  </w15:person>
  <w15:person w15:author="Danielle Tijerina">
    <w15:presenceInfo w15:providerId="AD" w15:userId="S::dtijerina@cuahsi.org::c4ed0e4e-9cb7-4aff-a9c1-1ab61823faa9"/>
  </w15:person>
  <w15:person w15:author="Federico Antolini">
    <w15:presenceInfo w15:providerId="Windows Live" w15:userId="69986f325a91f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9C6A68"/>
    <w:rsid w:val="00005AD2"/>
    <w:rsid w:val="00095BA4"/>
    <w:rsid w:val="000E29C0"/>
    <w:rsid w:val="00123135"/>
    <w:rsid w:val="001E2863"/>
    <w:rsid w:val="00261DD8"/>
    <w:rsid w:val="00265DFE"/>
    <w:rsid w:val="002771CD"/>
    <w:rsid w:val="003A193F"/>
    <w:rsid w:val="003E6C60"/>
    <w:rsid w:val="0040341D"/>
    <w:rsid w:val="0052215A"/>
    <w:rsid w:val="005D1DE8"/>
    <w:rsid w:val="00610F2D"/>
    <w:rsid w:val="0063476E"/>
    <w:rsid w:val="006E0ACB"/>
    <w:rsid w:val="008918E5"/>
    <w:rsid w:val="008D384A"/>
    <w:rsid w:val="008D5335"/>
    <w:rsid w:val="00980B36"/>
    <w:rsid w:val="009A39F1"/>
    <w:rsid w:val="009B4E4E"/>
    <w:rsid w:val="009C6A68"/>
    <w:rsid w:val="009F1763"/>
    <w:rsid w:val="00A52CC7"/>
    <w:rsid w:val="00A5566E"/>
    <w:rsid w:val="00A64467"/>
    <w:rsid w:val="00AE0BB6"/>
    <w:rsid w:val="00B70052"/>
    <w:rsid w:val="00C17021"/>
    <w:rsid w:val="00C54A65"/>
    <w:rsid w:val="00CE31AF"/>
    <w:rsid w:val="00CE36B7"/>
    <w:rsid w:val="00D441EA"/>
    <w:rsid w:val="00D8351C"/>
    <w:rsid w:val="00E35590"/>
    <w:rsid w:val="00E91FB0"/>
    <w:rsid w:val="00ED7DE8"/>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4090/juee.2011.v5n1.001014" TargetMode="External"/><Relationship Id="rId26" Type="http://schemas.openxmlformats.org/officeDocument/2006/relationships/hyperlink" Target="https://doi.org/10.1080/12269328.2011.10541349" TargetMode="External"/><Relationship Id="rId3" Type="http://schemas.openxmlformats.org/officeDocument/2006/relationships/settings" Target="settings.xml"/><Relationship Id="rId21" Type="http://schemas.openxmlformats.org/officeDocument/2006/relationships/hyperlink" Target="https://doi.org/10.1175/1525-7541(2003)004"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github.com/brittbarreto/Aquaholics_Anonymous" TargetMode="External"/><Relationship Id="rId25" Type="http://schemas.openxmlformats.org/officeDocument/2006/relationships/hyperlink" Target="https://doi.org/10.1061/(ASCE)1084-0699(2006)11:6(59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029/2005JD006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1002/hyp.252"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3133/fs16699"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00027-014-035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13DB-2F4A-4620-BC1F-A362DB78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13</Pages>
  <Words>6482</Words>
  <Characters>36949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Ishrat Jahan Dollan</cp:lastModifiedBy>
  <cp:revision>13</cp:revision>
  <cp:lastPrinted>2019-07-23T18:35:00Z</cp:lastPrinted>
  <dcterms:created xsi:type="dcterms:W3CDTF">2019-08-16T22:23:00Z</dcterms:created>
  <dcterms:modified xsi:type="dcterms:W3CDTF">2019-08-18T04:45:00Z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