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bookmarkStart w:id="0" w:name="_Hlk17056084"/>
      <w:bookmarkEnd w:id="0"/>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1" w:name="_gjdgxs" w:colFirst="0" w:colLast="0"/>
      <w:bookmarkEnd w:id="1"/>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Dymond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Hestir,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Maggioni, </w:t>
      </w:r>
      <w:r w:rsidRPr="00D947E7">
        <w:rPr>
          <w:rFonts w:ascii="Garamond" w:eastAsia="Garamond" w:hAnsi="Garamond" w:cs="Garamond"/>
          <w:i/>
        </w:rPr>
        <w:t>George Mason University</w:t>
      </w:r>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sufficient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34EAF40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r w:rsidR="00B73308">
        <w:rPr>
          <w:rFonts w:ascii="Garamond" w:eastAsia="Garamond" w:hAnsi="Garamond" w:cstheme="majorHAnsi"/>
          <w:sz w:val="24"/>
          <w:szCs w:val="24"/>
        </w:rPr>
        <w:t>serve</w:t>
      </w:r>
      <w:commentRangeStart w:id="2"/>
      <w:r w:rsidR="00B73308">
        <w:rPr>
          <w:rFonts w:ascii="Garamond" w:eastAsia="Garamond" w:hAnsi="Garamond" w:cstheme="majorHAnsi"/>
          <w:sz w:val="24"/>
          <w:szCs w:val="24"/>
        </w:rPr>
        <w:t>, among other purposes,</w:t>
      </w:r>
      <w:r>
        <w:rPr>
          <w:rFonts w:ascii="Garamond" w:eastAsia="Garamond" w:hAnsi="Garamond" w:cstheme="majorHAnsi"/>
          <w:sz w:val="24"/>
          <w:szCs w:val="24"/>
        </w:rPr>
        <w:t xml:space="preserve"> for</w:t>
      </w:r>
      <w:commentRangeEnd w:id="2"/>
      <w:r>
        <w:commentReference w:id="2"/>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r w:rsidR="00B73308">
        <w:rPr>
          <w:rFonts w:ascii="Garamond" w:eastAsia="Garamond" w:hAnsi="Garamond" w:cstheme="majorHAnsi"/>
          <w:sz w:val="24"/>
          <w:szCs w:val="24"/>
        </w:rPr>
        <w:t>Computational e</w:t>
      </w:r>
      <w:commentRangeStart w:id="3"/>
      <w:r>
        <w:rPr>
          <w:rFonts w:ascii="Garamond" w:eastAsia="Garamond" w:hAnsi="Garamond" w:cstheme="majorHAnsi"/>
          <w:sz w:val="24"/>
          <w:szCs w:val="24"/>
        </w:rPr>
        <w:t>fficiency is also an important characteristic</w:t>
      </w:r>
      <w:commentRangeEnd w:id="3"/>
      <w:r>
        <w:commentReference w:id="3"/>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363123D1"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w:t>
      </w:r>
      <w:commentRangeStart w:id="4"/>
      <w:r>
        <w:rPr>
          <w:rFonts w:ascii="Garamond" w:eastAsia="Garamond" w:hAnsi="Garamond" w:cstheme="majorHAnsi"/>
          <w:sz w:val="24"/>
          <w:szCs w:val="24"/>
        </w:rPr>
        <w:t>National Water Model (NWM</w:t>
      </w:r>
      <w:commentRangeEnd w:id="4"/>
      <w:r>
        <w:rPr>
          <w:rStyle w:val="CommentReference"/>
        </w:rPr>
        <w:commentReference w:id="4"/>
      </w:r>
      <w:r>
        <w:rPr>
          <w:rFonts w:ascii="Garamond" w:eastAsia="Garamond" w:hAnsi="Garamond" w:cstheme="majorHAnsi"/>
          <w:sz w:val="24"/>
          <w:szCs w:val="24"/>
        </w:rPr>
        <w:t>) focuses on hydrologic predictions at the continental scale and uses grids of coarse resolution</w:t>
      </w:r>
      <w:r w:rsidR="00B73308">
        <w:rPr>
          <w:rFonts w:ascii="Garamond" w:eastAsia="Garamond" w:hAnsi="Garamond" w:cstheme="majorHAnsi"/>
          <w:sz w:val="24"/>
          <w:szCs w:val="24"/>
        </w:rPr>
        <w:t xml:space="preserve">, </w:t>
      </w:r>
      <w:r>
        <w:rPr>
          <w:rFonts w:ascii="Garamond" w:eastAsia="Garamond" w:hAnsi="Garamond" w:cstheme="majorHAnsi"/>
          <w:sz w:val="24"/>
          <w:szCs w:val="24"/>
        </w:rPr>
        <w:t>1 km for land surface and 250 m for routing</w:t>
      </w:r>
      <w:r w:rsidR="00B73308">
        <w:rPr>
          <w:rFonts w:ascii="Garamond" w:eastAsia="Garamond" w:hAnsi="Garamond" w:cstheme="majorHAnsi"/>
          <w:sz w:val="24"/>
          <w:szCs w:val="24"/>
        </w:rPr>
        <w:t>.</w:t>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r w:rsidR="00B73308">
        <w:rPr>
          <w:rFonts w:ascii="Garamond" w:eastAsia="Garamond" w:hAnsi="Garamond" w:cstheme="majorHAnsi"/>
          <w:sz w:val="24"/>
          <w:szCs w:val="24"/>
        </w:rPr>
        <w:t xml:space="preserve">has shown some problems when </w:t>
      </w:r>
      <w:commentRangeStart w:id="5"/>
      <w:r w:rsidRPr="00B73308">
        <w:rPr>
          <w:rFonts w:ascii="Garamond" w:eastAsia="Garamond" w:hAnsi="Garamond" w:cstheme="majorHAnsi"/>
          <w:strike/>
          <w:sz w:val="24"/>
          <w:szCs w:val="24"/>
        </w:rPr>
        <w:t>is not designed</w:t>
      </w:r>
      <w:commentRangeEnd w:id="5"/>
      <w:r w:rsidRPr="00B73308">
        <w:rPr>
          <w:strike/>
        </w:rPr>
        <w:commentReference w:id="5"/>
      </w:r>
      <w:r w:rsidRPr="00B73308">
        <w:rPr>
          <w:rFonts w:ascii="Garamond" w:eastAsia="Garamond" w:hAnsi="Garamond" w:cstheme="majorHAnsi"/>
          <w:strike/>
          <w:sz w:val="24"/>
          <w:szCs w:val="24"/>
        </w:rPr>
        <w:t xml:space="preserve"> to correctly</w:t>
      </w:r>
      <w:r>
        <w:rPr>
          <w:rFonts w:ascii="Garamond" w:eastAsia="Garamond" w:hAnsi="Garamond" w:cstheme="majorHAnsi"/>
          <w:sz w:val="24"/>
          <w:szCs w:val="24"/>
        </w:rPr>
        <w:t xml:space="preserve"> model</w:t>
      </w:r>
      <w:r w:rsidR="00B73308">
        <w:rPr>
          <w:rFonts w:ascii="Garamond" w:eastAsia="Garamond" w:hAnsi="Garamond" w:cstheme="majorHAnsi"/>
          <w:sz w:val="24"/>
          <w:szCs w:val="24"/>
        </w:rPr>
        <w:t>ing</w:t>
      </w:r>
      <w:r>
        <w:rPr>
          <w:rFonts w:ascii="Garamond" w:eastAsia="Garamond" w:hAnsi="Garamond" w:cstheme="majorHAnsi"/>
          <w:sz w:val="24"/>
          <w:szCs w:val="24"/>
        </w:rPr>
        <w:t xml:space="preserve">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7B7C8FB3" w14:textId="0215D6F8" w:rsidR="00A328A5" w:rsidRDefault="00610F2D" w:rsidP="00A328A5">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6"/>
      <w:commentRangeEnd w:id="6"/>
      <w:r>
        <w:commentReference w:id="6"/>
      </w:r>
      <w:r w:rsidR="00A328A5">
        <w:rPr>
          <w:rFonts w:ascii="Garamond" w:eastAsia="Garamond" w:hAnsi="Garamond" w:cstheme="majorHAnsi"/>
          <w:sz w:val="24"/>
          <w:szCs w:val="24"/>
        </w:rPr>
        <w:t xml:space="preserve"> </w:t>
      </w:r>
      <w:r w:rsidR="00A328A5">
        <w:rPr>
          <w:rFonts w:ascii="Garamond" w:eastAsia="Garamond" w:hAnsi="Garamond" w:cstheme="majorHAnsi"/>
          <w:sz w:val="24"/>
          <w:szCs w:val="24"/>
        </w:rPr>
        <w:t>T</w:t>
      </w:r>
      <w:r w:rsidR="00A328A5">
        <w:rPr>
          <w:rFonts w:ascii="Garamond" w:eastAsia="Garamond" w:hAnsi="Garamond" w:cstheme="majorHAnsi"/>
          <w:sz w:val="24"/>
          <w:szCs w:val="24"/>
        </w:rPr>
        <w:t xml:space="preserve">his study did not attempt to </w:t>
      </w:r>
      <w:r w:rsidR="00A328A5">
        <w:rPr>
          <w:rFonts w:ascii="Garamond" w:eastAsia="Garamond" w:hAnsi="Garamond" w:cstheme="majorHAnsi"/>
          <w:sz w:val="24"/>
          <w:szCs w:val="24"/>
        </w:rPr>
        <w:t xml:space="preserve">explicitly model </w:t>
      </w:r>
      <w:r w:rsidR="00A328A5">
        <w:rPr>
          <w:rFonts w:ascii="Garamond" w:eastAsia="Garamond" w:hAnsi="Garamond" w:cstheme="majorHAnsi"/>
          <w:sz w:val="24"/>
          <w:szCs w:val="24"/>
        </w:rPr>
        <w:t xml:space="preserve">other fundamental hydrological processes, such as interception, evapotranspiration, snowmelt, streamflow routing, </w:t>
      </w:r>
      <w:r w:rsidR="00A328A5">
        <w:rPr>
          <w:rFonts w:ascii="Garamond" w:eastAsia="Garamond" w:hAnsi="Garamond" w:cstheme="majorHAnsi"/>
          <w:sz w:val="24"/>
          <w:szCs w:val="24"/>
        </w:rPr>
        <w:t xml:space="preserve">which are already part of the </w:t>
      </w:r>
      <w:r w:rsidR="00A328A5">
        <w:rPr>
          <w:rFonts w:ascii="Garamond" w:eastAsia="Garamond" w:hAnsi="Garamond" w:cstheme="majorHAnsi"/>
          <w:sz w:val="24"/>
          <w:szCs w:val="24"/>
        </w:rPr>
        <w:t>NWM</w:t>
      </w:r>
      <w:r w:rsidR="00A328A5">
        <w:rPr>
          <w:rFonts w:ascii="Garamond" w:eastAsia="Garamond" w:hAnsi="Garamond" w:cstheme="majorHAnsi"/>
          <w:sz w:val="24"/>
          <w:szCs w:val="24"/>
        </w:rPr>
        <w:t>. Instead, the objective is to study possible formulations of saturation excess runoff that can plug into the existing NWM framework.</w:t>
      </w:r>
    </w:p>
    <w:p w14:paraId="526A2E3F" w14:textId="77777777" w:rsidR="009C6A68" w:rsidRDefault="009C6A68">
      <w:pPr>
        <w:spacing w:line="240" w:lineRule="auto"/>
        <w:jc w:val="both"/>
        <w:rPr>
          <w:rFonts w:ascii="Garamond" w:eastAsia="Garamond" w:hAnsi="Garamond" w:cstheme="majorHAnsi"/>
          <w:sz w:val="24"/>
          <w:szCs w:val="24"/>
        </w:rPr>
      </w:pPr>
    </w:p>
    <w:p w14:paraId="17A0C318" w14:textId="5FB17F43" w:rsidR="00A328A5" w:rsidRDefault="00610F2D" w:rsidP="00A328A5">
      <w:pPr>
        <w:spacing w:line="240" w:lineRule="auto"/>
        <w:jc w:val="both"/>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7"/>
      <w:r>
        <w:rPr>
          <w:rFonts w:ascii="Garamond" w:eastAsia="Garamond" w:hAnsi="Garamond" w:cstheme="majorHAnsi"/>
          <w:sz w:val="24"/>
          <w:szCs w:val="24"/>
        </w:rPr>
        <w:t xml:space="preserve">R package implementing TOPMODEL </w:t>
      </w:r>
      <w:commentRangeEnd w:id="7"/>
      <w:r>
        <w:commentReference w:id="7"/>
      </w:r>
      <w:r>
        <w:rPr>
          <w:rFonts w:ascii="Garamond" w:eastAsia="Garamond" w:hAnsi="Garamond" w:cstheme="majorHAnsi"/>
          <w:sz w:val="24"/>
          <w:szCs w:val="24"/>
        </w:rPr>
        <w:t>as the first parsimonious model</w:t>
      </w:r>
      <w:r w:rsidR="00A328A5">
        <w:rPr>
          <w:rFonts w:ascii="Garamond" w:eastAsia="Garamond" w:hAnsi="Garamond" w:cstheme="majorHAnsi"/>
          <w:sz w:val="24"/>
          <w:szCs w:val="24"/>
        </w:rPr>
        <w:t xml:space="preserve"> </w:t>
      </w:r>
      <w:r w:rsidR="00A328A5" w:rsidRPr="00A328A5">
        <w:rPr>
          <w:rFonts w:ascii="Garamond" w:eastAsia="Garamond" w:hAnsi="Garamond" w:cstheme="majorHAnsi"/>
          <w:sz w:val="24"/>
          <w:szCs w:val="24"/>
          <w:highlight w:val="yellow"/>
        </w:rPr>
        <w:t>[3]</w:t>
      </w:r>
      <w:r>
        <w:rPr>
          <w:rFonts w:ascii="Garamond" w:eastAsia="Garamond" w:hAnsi="Garamond" w:cstheme="majorHAnsi"/>
          <w:sz w:val="24"/>
          <w:szCs w:val="24"/>
        </w:rPr>
        <w:t>. We developed a second parsimonious model (in the following, alternate model) based on TOPMODEL</w:t>
      </w:r>
      <w:r w:rsidR="00A75C53">
        <w:rPr>
          <w:rFonts w:ascii="Garamond" w:eastAsia="Garamond" w:hAnsi="Garamond" w:cstheme="majorHAnsi"/>
          <w:sz w:val="24"/>
          <w:szCs w:val="24"/>
        </w:rPr>
        <w:t>’s</w:t>
      </w:r>
      <w:r>
        <w:rPr>
          <w:rFonts w:ascii="Garamond" w:eastAsia="Garamond" w:hAnsi="Garamond" w:cstheme="majorHAnsi"/>
          <w:sz w:val="24"/>
          <w:szCs w:val="24"/>
        </w:rPr>
        <w:t xml:space="preserve"> </w:t>
      </w:r>
      <w:commentRangeStart w:id="8"/>
      <w:r w:rsidR="00A75C53">
        <w:rPr>
          <w:rFonts w:ascii="Garamond" w:eastAsia="Garamond" w:hAnsi="Garamond" w:cstheme="majorHAnsi"/>
          <w:sz w:val="24"/>
          <w:szCs w:val="24"/>
        </w:rPr>
        <w:t>primary</w:t>
      </w:r>
      <w:commentRangeEnd w:id="8"/>
      <w:r w:rsidR="00A75C53">
        <w:commentReference w:id="8"/>
      </w:r>
      <w:r w:rsidR="00A75C53">
        <w:rPr>
          <w:rFonts w:ascii="Garamond" w:eastAsia="Garamond" w:hAnsi="Garamond" w:cstheme="majorHAnsi"/>
          <w:sz w:val="24"/>
          <w:szCs w:val="24"/>
        </w:rPr>
        <w:t xml:space="preserve"> </w:t>
      </w:r>
      <w:r>
        <w:rPr>
          <w:rFonts w:ascii="Garamond" w:eastAsia="Garamond" w:hAnsi="Garamond" w:cstheme="majorHAnsi"/>
          <w:sz w:val="24"/>
          <w:szCs w:val="24"/>
        </w:rPr>
        <w:t>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r w:rsidR="00A328A5">
        <w:rPr>
          <w:rFonts w:ascii="Garamond" w:eastAsia="Garamond" w:hAnsi="Garamond" w:cstheme="majorHAnsi"/>
          <w:sz w:val="24"/>
          <w:szCs w:val="24"/>
        </w:rPr>
        <w:t xml:space="preserve"> </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2402F809"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r w:rsidR="00C349E3">
        <w:rPr>
          <w:rFonts w:ascii="Garamond" w:eastAsia="Garamond" w:hAnsi="Garamond" w:cstheme="majorHAnsi"/>
          <w:sz w:val="24"/>
          <w:szCs w:val="24"/>
        </w:rPr>
        <w:t>R</w:t>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51293348"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A75C53">
        <w:rPr>
          <w:rFonts w:ascii="Garamond" w:eastAsia="Garamond" w:hAnsi="Garamond" w:cstheme="majorHAnsi"/>
          <w:sz w:val="24"/>
          <w:szCs w:val="24"/>
        </w:rPr>
        <w:t>a</w:t>
      </w:r>
      <w:r>
        <w:rPr>
          <w:rFonts w:ascii="Garamond" w:eastAsia="Garamond" w:hAnsi="Garamond" w:cstheme="majorHAnsi"/>
          <w:sz w:val="24"/>
          <w:szCs w:val="24"/>
        </w:rPr>
        <w:t xml:space="preserve"> GitHub </w:t>
      </w:r>
      <w:r w:rsidR="00A75C53">
        <w:rPr>
          <w:rFonts w:ascii="Garamond" w:eastAsia="Garamond" w:hAnsi="Garamond" w:cstheme="majorHAnsi"/>
          <w:sz w:val="24"/>
          <w:szCs w:val="24"/>
        </w:rPr>
        <w:t>and a Hydroshare repository</w:t>
      </w:r>
      <w:r>
        <w:rPr>
          <w:rFonts w:ascii="Garamond" w:eastAsia="Garamond" w:hAnsi="Garamond" w:cstheme="majorHAnsi"/>
          <w:sz w:val="24"/>
          <w:szCs w:val="24"/>
        </w:rPr>
        <w:t>.</w:t>
      </w:r>
      <w:r w:rsidR="00A75C53">
        <w:rPr>
          <w:rFonts w:ascii="Garamond" w:eastAsia="Garamond" w:hAnsi="Garamond" w:cstheme="majorHAnsi"/>
          <w:sz w:val="24"/>
          <w:szCs w:val="24"/>
        </w:rPr>
        <w:t xml:space="preserve"> Both links are</w:t>
      </w:r>
      <w:r>
        <w:rPr>
          <w:rFonts w:ascii="Garamond" w:eastAsia="Garamond" w:hAnsi="Garamond" w:cstheme="majorHAnsi"/>
          <w:sz w:val="24"/>
          <w:szCs w:val="24"/>
        </w:rPr>
        <w:t xml:space="preserve"> </w:t>
      </w:r>
      <w:r w:rsidR="00A75C53">
        <w:rPr>
          <w:rFonts w:ascii="Garamond" w:eastAsia="Garamond" w:hAnsi="Garamond" w:cstheme="majorHAnsi"/>
          <w:sz w:val="24"/>
          <w:szCs w:val="24"/>
        </w:rPr>
        <w:t>provided at the end of this report</w:t>
      </w:r>
      <w:r w:rsidR="00A75C53">
        <w:rPr>
          <w:rFonts w:ascii="Garamond" w:eastAsia="Garamond" w:hAnsi="Garamond" w:cstheme="majorHAnsi"/>
          <w:sz w:val="24"/>
          <w:szCs w:val="24"/>
        </w:rPr>
        <w:t>.</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4B53F16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a minimal number of parameters </w:t>
      </w:r>
      <w:r w:rsidR="00B73A15">
        <w:rPr>
          <w:rFonts w:ascii="Garamond" w:eastAsia="Garamond" w:hAnsi="Garamond" w:cstheme="majorHAnsi"/>
          <w:sz w:val="24"/>
          <w:szCs w:val="24"/>
        </w:rPr>
        <w:t>is preferable</w:t>
      </w:r>
      <w:r w:rsidR="00B73A15">
        <w:rPr>
          <w:rFonts w:ascii="Garamond" w:eastAsia="Garamond" w:hAnsi="Garamond" w:cstheme="majorHAnsi"/>
          <w:sz w:val="24"/>
          <w:szCs w:val="24"/>
        </w:rPr>
        <w:t xml:space="preserve"> to </w:t>
      </w:r>
      <w:r>
        <w:rPr>
          <w:rFonts w:ascii="Garamond" w:eastAsia="Garamond" w:hAnsi="Garamond" w:cstheme="majorHAnsi"/>
          <w:sz w:val="24"/>
          <w:szCs w:val="24"/>
        </w:rPr>
        <w:t>represent hydrological connectivity and catchment response.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427D9645" w:rsidR="009C6A68" w:rsidRDefault="00610F2D">
      <w:pPr>
        <w:spacing w:line="240" w:lineRule="auto"/>
        <w:jc w:val="both"/>
      </w:pPr>
      <w:r>
        <w:rPr>
          <w:rFonts w:ascii="Garamond" w:eastAsia="Garamond" w:hAnsi="Garamond" w:cstheme="majorHAnsi"/>
          <w:sz w:val="24"/>
          <w:szCs w:val="24"/>
        </w:rPr>
        <w:lastRenderedPageBreak/>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123135">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3E6C60">
        <w:rPr>
          <w:rFonts w:ascii="Garamond" w:eastAsia="Garamond" w:hAnsi="Garamond" w:cstheme="majorHAnsi"/>
          <w:noProof/>
          <w:sz w:val="24"/>
          <w:szCs w:val="24"/>
        </w:rPr>
        <w:t>[1]</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&lt;EndNote&gt;&lt;Cite&gt;&lt;Author&gt;Nourani&lt;/Author&gt;&lt;Year&gt;2011&lt;/Year&gt;&lt;RecNum&gt;2&lt;/RecNum&gt;&lt;DisplayText&gt;&lt;style size="12"&gt;[2]&lt;/style&gt;&lt;/DisplayText&gt;&lt;record&gt;&lt;rec-number&gt;2&lt;/rec-number&gt;&lt;foreign-keys&gt;&lt;key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[2]</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5BA2FE29"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40341D">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[1]</w:t>
      </w:r>
      <w:r w:rsidR="0040341D">
        <w:rPr>
          <w:rFonts w:ascii="Garamond" w:eastAsia="Garamond" w:hAnsi="Garamond" w:cstheme="majorHAnsi"/>
          <w:sz w:val="24"/>
          <w:szCs w:val="24"/>
        </w:rPr>
        <w:fldChar w:fldCharType="end"/>
      </w:r>
      <w:r>
        <w:rPr>
          <w:rFonts w:ascii="Garamond" w:eastAsia="Garamond" w:hAnsi="Garamond" w:cstheme="majorHAnsi"/>
          <w:sz w:val="24"/>
          <w:szCs w:val="24"/>
        </w:rPr>
        <w:t>: (1) steady-state condition for a saturated zone, (2) local hydraulic gradient of a saturated zone approximated by the local surface topographic slope, tan β, (3) an exponential decay function of transmissivity with depth (or equivalently 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8D5335">
        <w:rPr>
          <w:rFonts w:ascii="Garamond" w:eastAsia="Garamond" w:hAnsi="Garamond" w:cstheme="majorHAnsi"/>
          <w:noProof/>
          <w:sz w:val="24"/>
          <w:szCs w:val="24"/>
        </w:rPr>
        <w:t>[3]</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67E0C894"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&lt;EndNote&gt;&lt;Cite&gt;&lt;Author&gt;Niu&lt;/Author&gt;&lt;Year&gt;2005&lt;/Year&gt;&lt;RecNum&gt;4&lt;/RecNum&gt;&lt;DisplayText&gt;&lt;style size="12"&gt;[4]&lt;/style&gt;&lt;/DisplayText&gt;&lt;record&gt;&lt;rec-number&gt;4&lt;/rec-number&gt;&lt;foreign-keys&gt;&lt;key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Yue&lt;/author&gt;&lt;author&gt;Yang, Zong</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[4]</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&lt;EndNote&gt;&lt;Cite&gt;&lt;Author&gt;Gedney&lt;/Author&gt;&lt;Year&gt;2003&lt;/Year&gt;&lt;RecNum&gt;5&lt;/RecNum&gt;&lt;DisplayText&gt;&lt;style size="12"&gt;[5]&lt;/style&gt;&lt;/DisplayText&gt;&lt;record&gt;&lt;rec-number&gt;5&lt;/rec-number&gt;&lt;foreign-keys&gt;&lt;key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029CEB0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a daily time step </w:t>
      </w:r>
      <w:r w:rsidR="00B73A15">
        <w:rPr>
          <w:rFonts w:ascii="Garamond" w:eastAsia="Garamond" w:hAnsi="Garamond" w:cstheme="majorHAnsi"/>
          <w:sz w:val="24"/>
          <w:szCs w:val="24"/>
        </w:rPr>
        <w:t>cannot captur</w:t>
      </w:r>
      <w:r w:rsidR="00B73A15">
        <w:rPr>
          <w:rFonts w:ascii="Garamond" w:eastAsia="Garamond" w:hAnsi="Garamond" w:cstheme="majorHAnsi"/>
          <w:sz w:val="24"/>
          <w:szCs w:val="24"/>
        </w:rPr>
        <w:t>e the dynamics of a s</w:t>
      </w:r>
      <w:r>
        <w:rPr>
          <w:rFonts w:ascii="Garamond" w:eastAsia="Garamond" w:hAnsi="Garamond" w:cstheme="majorHAnsi"/>
          <w:sz w:val="24"/>
          <w:szCs w:val="24"/>
        </w:rPr>
        <w:t>mall catchment</w:t>
      </w:r>
      <w:r w:rsidR="00B73A15">
        <w:rPr>
          <w:rFonts w:ascii="Garamond" w:eastAsia="Garamond" w:hAnsi="Garamond" w:cstheme="majorHAnsi"/>
          <w:sz w:val="24"/>
          <w:szCs w:val="24"/>
        </w:rPr>
        <w:t>, whose response time is typically in the order of hours</w:t>
      </w:r>
      <w:r>
        <w:rPr>
          <w:rFonts w:ascii="Garamond" w:eastAsia="Garamond" w:hAnsi="Garamond" w:cstheme="majorHAnsi"/>
          <w:sz w:val="24"/>
          <w:szCs w:val="24"/>
        </w:rPr>
        <w:t>.</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We ran hydrologic simulations using the established version of TOPMODEL (R package) and an </w:t>
      </w:r>
      <w:commentRangeStart w:id="9"/>
      <w:commentRangeStart w:id="10"/>
      <w:r>
        <w:rPr>
          <w:rFonts w:ascii="Garamond" w:eastAsia="Garamond" w:hAnsi="Garamond" w:cstheme="majorHAnsi"/>
          <w:sz w:val="24"/>
          <w:szCs w:val="24"/>
        </w:rPr>
        <w:t>alternate</w:t>
      </w:r>
      <w:commentRangeEnd w:id="9"/>
      <w:r>
        <w:commentReference w:id="9"/>
      </w:r>
      <w:commentRangeEnd w:id="10"/>
      <w:r w:rsidR="00F22665">
        <w:rPr>
          <w:rStyle w:val="CommentReference"/>
        </w:rPr>
        <w:commentReference w:id="10"/>
      </w:r>
      <w:r>
        <w:rPr>
          <w:rFonts w:ascii="Garamond" w:eastAsia="Garamond" w:hAnsi="Garamond" w:cstheme="majorHAnsi"/>
          <w:sz w:val="24"/>
          <w:szCs w:val="24"/>
        </w:rPr>
        <w:t xml:space="preserve"> TOPMODEL-based model we developed that incorporates soil parameters. Simulated 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5872659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&lt;EndNote&gt;&lt;Cite&gt;&lt;Author&gt;Service&lt;/Author&gt;&lt;RecNum&gt;6&lt;/RecNum&gt;&lt;DisplayText&gt;&lt;style size="12"&gt;[6]&lt;/style&gt;&lt;/DisplayText&gt;&lt;record&gt;&lt;rec-number&gt;6&lt;/rec-number&gt;&lt;foreign-keys&gt;&lt;key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subcatchments,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Subcatchment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04831F8B" w:rsidR="009C6A68" w:rsidRDefault="00610F2D">
      <w:pPr>
        <w:pStyle w:val="Caption"/>
        <w:spacing w:before="120" w:after="240" w:line="260" w:lineRule="atLeast"/>
        <w:jc w:val="center"/>
      </w:pPr>
      <w:bookmarkStart w:id="12" w:name="_Ref15858780"/>
      <w:r>
        <w:rPr>
          <w:rFonts w:ascii="Garamond" w:hAnsi="Garamond" w:cstheme="majorHAnsi"/>
          <w:b/>
          <w:bCs/>
          <w:i w:val="0"/>
          <w:iCs w:val="0"/>
          <w:color w:val="auto"/>
          <w:sz w:val="20"/>
          <w:szCs w:val="20"/>
        </w:rPr>
        <w:t>Figur</w:t>
      </w:r>
      <w:r w:rsidRPr="00E033C7">
        <w:rPr>
          <w:rFonts w:ascii="Garamond" w:hAnsi="Garamond" w:cstheme="majorHAnsi"/>
          <w:b/>
          <w:bCs/>
          <w:i w:val="0"/>
          <w:iCs w:val="0"/>
          <w:color w:val="000000" w:themeColor="text1"/>
          <w:sz w:val="20"/>
          <w:szCs w:val="20"/>
        </w:rPr>
        <w:t xml:space="preserve">e </w:t>
      </w:r>
      <w:r w:rsidRPr="00E033C7">
        <w:rPr>
          <w:rFonts w:ascii="Garamond" w:hAnsi="Garamond" w:cs="Calibri"/>
          <w:b/>
          <w:bCs/>
          <w:i w:val="0"/>
          <w:iCs w:val="0"/>
          <w:color w:val="000000" w:themeColor="text1"/>
          <w:sz w:val="20"/>
          <w:szCs w:val="20"/>
        </w:rPr>
        <w:fldChar w:fldCharType="begin"/>
      </w:r>
      <w:r w:rsidRPr="00E033C7">
        <w:rPr>
          <w:rFonts w:ascii="Garamond" w:hAnsi="Garamond" w:cs="Calibri"/>
          <w:b/>
          <w:bCs/>
          <w:i w:val="0"/>
          <w:iCs w:val="0"/>
          <w:color w:val="000000" w:themeColor="text1"/>
          <w:sz w:val="20"/>
          <w:szCs w:val="20"/>
        </w:rPr>
        <w:instrText>SEQ Figure \* ARABIC</w:instrText>
      </w:r>
      <w:r w:rsidRPr="00E033C7">
        <w:rPr>
          <w:rFonts w:ascii="Garamond" w:hAnsi="Garamond" w:cs="Calibri"/>
          <w:b/>
          <w:bCs/>
          <w:i w:val="0"/>
          <w:iCs w:val="0"/>
          <w:color w:val="000000" w:themeColor="text1"/>
          <w:sz w:val="20"/>
          <w:szCs w:val="20"/>
        </w:rPr>
        <w:fldChar w:fldCharType="separate"/>
      </w:r>
      <w:r w:rsidRPr="00E033C7">
        <w:rPr>
          <w:rFonts w:ascii="Garamond" w:hAnsi="Garamond" w:cs="Calibri"/>
          <w:b/>
          <w:bCs/>
          <w:i w:val="0"/>
          <w:iCs w:val="0"/>
          <w:color w:val="000000" w:themeColor="text1"/>
          <w:sz w:val="20"/>
          <w:szCs w:val="20"/>
        </w:rPr>
        <w:t>1</w:t>
      </w:r>
      <w:r w:rsidRPr="00E033C7">
        <w:rPr>
          <w:rFonts w:ascii="Garamond" w:hAnsi="Garamond" w:cs="Calibri"/>
          <w:b/>
          <w:bCs/>
          <w:i w:val="0"/>
          <w:iCs w:val="0"/>
          <w:color w:val="000000" w:themeColor="text1"/>
          <w:sz w:val="20"/>
          <w:szCs w:val="20"/>
        </w:rPr>
        <w:fldChar w:fldCharType="end"/>
      </w:r>
      <w:bookmarkEnd w:id="12"/>
      <w:r w:rsidRPr="00E033C7">
        <w:rPr>
          <w:rFonts w:ascii="Garamond" w:hAnsi="Garamond" w:cstheme="majorHAnsi"/>
          <w:b/>
          <w:bCs/>
          <w:i w:val="0"/>
          <w:iCs w:val="0"/>
          <w:color w:val="000000" w:themeColor="text1"/>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005AD2" w:rsidRPr="00005AD2">
        <w:rPr>
          <w:rFonts w:ascii="Garamond" w:hAnsi="Garamond" w:cstheme="majorHAnsi"/>
          <w:color w:val="auto"/>
          <w:sz w:val="20"/>
          <w:szCs w:val="20"/>
        </w:rPr>
        <w:instrText xml:space="preserve"> ADDIN EN.CITE &lt;EndNote&gt;&lt;Cite&gt;&lt;Author&gt;Cawley&lt;/Author&gt;&lt;Year&gt;2014&lt;/Year&gt;&lt;RecNum&gt;7&lt;/RecNum&gt;&lt;DisplayText&gt;&lt;style size="12"&gt;[7]&lt;/style&gt;&lt;/DisplayText&gt;&lt;record&gt;&lt;rec-number&gt;7&lt;/rec-number&gt;&lt;foreign-keys&gt;&lt;key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005AD2" w:rsidRPr="00005AD2">
        <w:rPr>
          <w:rFonts w:ascii="Garamond" w:hAnsi="Garamond" w:cstheme="majorHAnsi"/>
          <w:noProof/>
          <w:color w:val="auto"/>
          <w:sz w:val="20"/>
          <w:szCs w:val="20"/>
        </w:rPr>
        <w:t>[7]</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3A2A0374" w:rsidR="009C6A68" w:rsidRDefault="00610F2D">
      <w:pPr>
        <w:spacing w:line="240" w:lineRule="auto"/>
        <w:jc w:val="both"/>
      </w:pPr>
      <w:r>
        <w:rPr>
          <w:rFonts w:ascii="Garamond" w:eastAsia="Garamond" w:hAnsi="Garamond" w:cstheme="majorHAnsi"/>
          <w:sz w:val="24"/>
          <w:szCs w:val="24"/>
        </w:rPr>
        <w:t xml:space="preserve">The Sleepers River Research Watershed in Vermont </w:t>
      </w:r>
      <w:r w:rsidRPr="006F1B73">
        <w:rPr>
          <w:rFonts w:ascii="Garamond" w:eastAsia="Garamond" w:hAnsi="Garamond" w:cstheme="majorHAnsi"/>
          <w:sz w:val="24"/>
          <w:szCs w:val="24"/>
        </w:rPr>
        <w:t xml:space="preserve">has been </w:t>
      </w:r>
      <w:r>
        <w:rPr>
          <w:rFonts w:ascii="Garamond" w:eastAsia="Garamond" w:hAnsi="Garamond" w:cstheme="majorHAnsi"/>
          <w:sz w:val="24"/>
          <w:szCs w:val="24"/>
        </w:rPr>
        <w:t>an active hydrologic research site since 1959</w:t>
      </w:r>
      <w:r w:rsidR="0092149F">
        <w:rPr>
          <w:rFonts w:ascii="Garamond" w:eastAsia="Garamond" w:hAnsi="Garamond" w:cstheme="majorHAnsi"/>
          <w:sz w:val="24"/>
          <w:szCs w:val="24"/>
        </w:rPr>
        <w:t xml:space="preserve">. Here </w:t>
      </w:r>
      <w:r>
        <w:rPr>
          <w:rFonts w:ascii="Garamond" w:eastAsia="Garamond" w:hAnsi="Garamond" w:cstheme="majorHAnsi"/>
          <w:sz w:val="24"/>
          <w:szCs w:val="24"/>
        </w:rPr>
        <w:t xml:space="preserve">Dunne and Black (1970) determined the controls of saturation-excess overland flow on streamflow generation. </w:t>
      </w:r>
      <w:r w:rsidR="006F1B73">
        <w:rPr>
          <w:rFonts w:ascii="Garamond" w:eastAsia="Garamond" w:hAnsi="Garamond" w:cstheme="majorHAnsi"/>
          <w:sz w:val="24"/>
          <w:szCs w:val="24"/>
        </w:rPr>
        <w:t>Specifically</w:t>
      </w:r>
      <w:r w:rsidR="006F1B73">
        <w:rPr>
          <w:rFonts w:ascii="Garamond" w:eastAsia="Garamond" w:hAnsi="Garamond" w:cstheme="majorHAnsi"/>
          <w:sz w:val="24"/>
          <w:szCs w:val="24"/>
        </w:rPr>
        <w:t xml:space="preserve">, we chose as </w:t>
      </w:r>
      <w:r w:rsidR="006F1B73">
        <w:rPr>
          <w:rFonts w:ascii="Garamond" w:eastAsia="Garamond" w:hAnsi="Garamond" w:cstheme="majorHAnsi"/>
          <w:sz w:val="24"/>
          <w:szCs w:val="24"/>
        </w:rPr>
        <w:t>study area watershed W-3</w:t>
      </w:r>
      <w:r w:rsidR="006F1B73">
        <w:rPr>
          <w:rFonts w:ascii="Garamond" w:eastAsia="Garamond" w:hAnsi="Garamond" w:cstheme="majorHAnsi"/>
          <w:sz w:val="24"/>
          <w:szCs w:val="24"/>
        </w:rPr>
        <w:t xml:space="preserve"> (</w:t>
      </w:r>
      <w:r w:rsidR="006F1B73">
        <w:rPr>
          <w:rFonts w:ascii="Garamond" w:eastAsia="Garamond" w:hAnsi="Garamond" w:cs="Calibri"/>
          <w:sz w:val="24"/>
          <w:szCs w:val="24"/>
        </w:rPr>
        <w:fldChar w:fldCharType="begin"/>
      </w:r>
      <w:r w:rsidR="006F1B73">
        <w:rPr>
          <w:rFonts w:ascii="Garamond" w:eastAsia="Garamond" w:hAnsi="Garamond" w:cs="Calibri"/>
          <w:sz w:val="24"/>
          <w:szCs w:val="24"/>
        </w:rPr>
        <w:instrText>REF _Ref15858762 \h</w:instrText>
      </w:r>
      <w:r w:rsidR="006F1B73">
        <w:rPr>
          <w:rFonts w:ascii="Garamond" w:eastAsia="Garamond" w:hAnsi="Garamond" w:cs="Calibri"/>
          <w:sz w:val="24"/>
          <w:szCs w:val="24"/>
        </w:rPr>
      </w:r>
      <w:r w:rsidR="006F1B73">
        <w:rPr>
          <w:rFonts w:ascii="Garamond" w:eastAsia="Garamond" w:hAnsi="Garamond" w:cs="Calibri"/>
          <w:sz w:val="24"/>
          <w:szCs w:val="24"/>
        </w:rPr>
        <w:fldChar w:fldCharType="separate"/>
      </w:r>
      <w:r w:rsidR="006F1B73">
        <w:rPr>
          <w:rFonts w:ascii="Garamond" w:eastAsia="Garamond" w:hAnsi="Garamond" w:cs="Calibri"/>
          <w:sz w:val="24"/>
          <w:szCs w:val="24"/>
        </w:rPr>
        <w:t>Figure 2</w:t>
      </w:r>
      <w:r w:rsidR="006F1B73">
        <w:rPr>
          <w:rFonts w:ascii="Garamond" w:eastAsia="Garamond" w:hAnsi="Garamond" w:cs="Calibri"/>
          <w:sz w:val="24"/>
          <w:szCs w:val="24"/>
        </w:rPr>
        <w:fldChar w:fldCharType="end"/>
      </w:r>
      <w:r w:rsidR="006F1B73">
        <w:rPr>
          <w:rFonts w:ascii="Garamond" w:eastAsia="Garamond" w:hAnsi="Garamond" w:cs="Calibri"/>
          <w:sz w:val="24"/>
          <w:szCs w:val="24"/>
        </w:rPr>
        <w:t>)</w:t>
      </w:r>
      <w:r>
        <w:rPr>
          <w:rFonts w:ascii="Garamond" w:eastAsia="Garamond" w:hAnsi="Garamond" w:cstheme="majorHAnsi"/>
          <w:sz w:val="24"/>
          <w:szCs w:val="24"/>
        </w:rPr>
        <w:t xml:space="preserve">,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1C7003EC" w:rsidR="009C6A68" w:rsidRDefault="009C6A68">
      <w:pPr>
        <w:spacing w:line="240" w:lineRule="auto"/>
        <w:jc w:val="both"/>
        <w:rPr>
          <w:rFonts w:ascii="Garamond" w:eastAsia="Garamond" w:hAnsi="Garamond" w:cstheme="majorHAnsi"/>
          <w:sz w:val="24"/>
          <w:szCs w:val="24"/>
        </w:rPr>
      </w:pPr>
    </w:p>
    <w:p w14:paraId="2085A058" w14:textId="1039B840"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shaped the present landscape and impacted its hydrological patterns. Most of the watershed is covered by 1-4 meters of glacial till which leads to high buffered streamflow due to the weathering of the calcite within the till. The </w:t>
      </w:r>
      <w:r w:rsidR="006F1B73">
        <w:rPr>
          <w:rFonts w:ascii="Garamond" w:eastAsia="Garamond" w:hAnsi="Garamond" w:cstheme="majorHAnsi"/>
          <w:sz w:val="24"/>
          <w:szCs w:val="24"/>
        </w:rPr>
        <w:t xml:space="preserve">climate is </w:t>
      </w:r>
      <w:r>
        <w:rPr>
          <w:rFonts w:ascii="Garamond" w:eastAsia="Garamond" w:hAnsi="Garamond" w:cstheme="majorHAnsi"/>
          <w:sz w:val="24"/>
          <w:szCs w:val="24"/>
        </w:rPr>
        <w:t>continental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&lt;EndNote&gt;&lt;Cite&gt;&lt;Author&gt;Shanley&lt;/Author&gt;&lt;Year&gt;2000&lt;/Year&gt;&lt;RecNum&gt;8&lt;/RecNum&gt;&lt;DisplayText&gt;&lt;style size="12"&gt;[8]&lt;/style&gt;&lt;/DisplayText&gt;&lt;record&gt;&lt;rec-number&gt;8&lt;/rec-number&gt;&lt;foreign-keys&gt;&lt;key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[8]</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5F5E0EC0" w14:textId="6299C6AC" w:rsidR="009C6A68" w:rsidRDefault="009C6A68">
      <w:pPr>
        <w:rPr>
          <w:rFonts w:ascii="Garamond" w:hAnsi="Garamond"/>
        </w:rPr>
      </w:pPr>
    </w:p>
    <w:p w14:paraId="40679DC2" w14:textId="18D4D923" w:rsidR="0092149F" w:rsidRDefault="006F1B73" w:rsidP="006F1B73">
      <w:pPr>
        <w:spacing w:line="240" w:lineRule="auto"/>
        <w:jc w:val="center"/>
        <w:rPr>
          <w:rFonts w:ascii="Garamond" w:hAnsi="Garamond"/>
        </w:rPr>
      </w:pPr>
      <w:r>
        <w:rPr>
          <w:noProof/>
        </w:rPr>
        <w:lastRenderedPageBreak/>
        <w:drawing>
          <wp:inline distT="0" distB="0" distL="0" distR="0" wp14:anchorId="389AD50E" wp14:editId="26EC3C8D">
            <wp:extent cx="2567305" cy="2762250"/>
            <wp:effectExtent l="19050" t="19050" r="23495" b="1905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67305" cy="2762250"/>
                    </a:xfrm>
                    <a:prstGeom prst="rect">
                      <a:avLst/>
                    </a:prstGeom>
                    <a:ln>
                      <a:solidFill>
                        <a:schemeClr val="tx1"/>
                      </a:solidFill>
                    </a:ln>
                  </pic:spPr>
                </pic:pic>
              </a:graphicData>
            </a:graphic>
          </wp:inline>
        </w:drawing>
      </w:r>
    </w:p>
    <w:p w14:paraId="3668CF5E" w14:textId="79B4FC3D" w:rsidR="009C6A68" w:rsidRDefault="00610F2D" w:rsidP="006F1B73">
      <w:pPr>
        <w:spacing w:before="120" w:after="240" w:line="260" w:lineRule="atLeast"/>
        <w:jc w:val="center"/>
        <w:rPr>
          <w:rFonts w:ascii="Garamond" w:hAnsi="Garamond" w:cstheme="majorHAnsi"/>
          <w:i/>
          <w:iCs/>
          <w:sz w:val="20"/>
          <w:szCs w:val="20"/>
        </w:rPr>
      </w:pPr>
      <w:bookmarkStart w:id="13"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3"/>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006EA27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first modeled using TOPMODEL. The TOPMODEL function in R requires an input of five variables. The first is a set of ten parameters which are described by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 xml:space="preserve">.  The second is a TWI data frame which represents the distribution of TWI values for the Digital Elevation Model (DEM) of the catchment. The third variable is a delay data frame which represents channel routing through the watershed. The fourth and fifth variables are precipitation and potential evapotranspiration values respectively. For a more thorough explanation of these five input variables, see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1C05D108"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catchment. Precipitation values were obtained from the Analysis of Record for Calibration (AORC)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&lt;EndNote&gt;&lt;Cite&gt;&lt;Author&gt;Kitzmiller&lt;/Author&gt;&lt;Year&gt;2018&lt;/Year&gt;&lt;RecNum&gt;9&lt;/RecNum&gt;&lt;DisplayText&gt;&lt;style size="12"&gt;[9]&lt;/style&gt;&lt;/DisplayText&gt;&lt;record&gt;&lt;rec-number&gt;9&lt;/rec-number&gt;&lt;foreign-keys&gt;&lt;key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w:t>
      </w:r>
      <w:r w:rsidR="00E033C7">
        <w:rPr>
          <w:rFonts w:ascii="Garamond" w:eastAsia="Garamond" w:hAnsi="Garamond" w:cstheme="majorHAnsi"/>
          <w:sz w:val="24"/>
          <w:szCs w:val="24"/>
        </w:rPr>
        <w:t>We used t</w:t>
      </w:r>
      <w:r>
        <w:rPr>
          <w:rFonts w:ascii="Garamond" w:eastAsia="Garamond" w:hAnsi="Garamond" w:cstheme="majorHAnsi"/>
          <w:sz w:val="24"/>
          <w:szCs w:val="24"/>
        </w:rPr>
        <w:t>he water balance method to find that the average rate of ET for catchment W-3 was approximately 3 mm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commentRangeStart w:id="14"/>
      <w:r>
        <w:rPr>
          <w:rFonts w:ascii="Garamond" w:eastAsia="Garamond" w:hAnsi="Garamond" w:cstheme="majorHAnsi"/>
          <w:sz w:val="24"/>
          <w:szCs w:val="24"/>
        </w:rPr>
        <w:t xml:space="preserve">. </w:t>
      </w:r>
      <w:commentRangeEnd w:id="14"/>
      <w:r>
        <w:commentReference w:id="14"/>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2C0889B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the 2019 Summer Institute. They created 22,000</w:t>
      </w:r>
      <w:r>
        <w:rPr>
          <w:rFonts w:ascii="Garamond" w:eastAsia="Garamond" w:hAnsi="Garamond" w:cstheme="majorHAnsi"/>
          <w:color w:val="1D1C1D"/>
          <w:sz w:val="24"/>
          <w:szCs w:val="24"/>
        </w:rPr>
        <w:t xml:space="preserve"> sets of parameters sampled with </w:t>
      </w:r>
      <w:commentRangeStart w:id="15"/>
      <w:r>
        <w:rPr>
          <w:rFonts w:ascii="Garamond" w:eastAsia="Garamond" w:hAnsi="Garamond" w:cstheme="majorHAnsi"/>
          <w:color w:val="1D1C1D"/>
          <w:sz w:val="24"/>
          <w:szCs w:val="24"/>
        </w:rPr>
        <w:t>Saltelli techniques</w:t>
      </w:r>
      <w:commentRangeEnd w:id="15"/>
      <w:r>
        <w:commentReference w:id="15"/>
      </w:r>
      <w:r>
        <w:rPr>
          <w:rFonts w:ascii="Garamond" w:eastAsia="Garamond" w:hAnsi="Garamond" w:cstheme="majorHAnsi"/>
          <w:color w:val="1D1C1D"/>
          <w:sz w:val="24"/>
          <w:szCs w:val="24"/>
        </w:rPr>
        <w:t xml:space="preserve">, and performed a </w:t>
      </w:r>
      <w:commentRangeStart w:id="16"/>
      <w:r>
        <w:rPr>
          <w:rFonts w:ascii="Garamond" w:eastAsia="Garamond" w:hAnsi="Garamond" w:cstheme="majorHAnsi"/>
          <w:color w:val="1D1C1D"/>
          <w:sz w:val="24"/>
          <w:szCs w:val="24"/>
        </w:rPr>
        <w:t>Sobol sensitivity analysis</w:t>
      </w:r>
      <w:commentRangeEnd w:id="16"/>
      <w:r>
        <w:commentReference w:id="16"/>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commentRangeStart w:id="17"/>
      <w:r>
        <w:rPr>
          <w:rFonts w:ascii="Garamond" w:eastAsia="Garamond" w:hAnsi="Garamond" w:cstheme="majorHAnsi"/>
          <w:color w:val="1D1C1D"/>
          <w:sz w:val="24"/>
          <w:szCs w:val="24"/>
        </w:rPr>
        <w:t>)</w:t>
      </w:r>
      <w:commentRangeEnd w:id="17"/>
      <w:r>
        <w:commentReference w:id="17"/>
      </w:r>
      <w:r>
        <w:rPr>
          <w:rFonts w:ascii="Garamond" w:eastAsia="Garamond" w:hAnsi="Garamond" w:cstheme="majorHAnsi"/>
          <w:color w:val="1D1C1D"/>
          <w:sz w:val="24"/>
          <w:szCs w:val="24"/>
        </w:rPr>
        <w:t>, rate of decline of transmissivity in the soil profile (</w:t>
      </w:r>
      <w:r w:rsidRPr="00887A0F">
        <w:rPr>
          <w:rFonts w:ascii="Garamond" w:eastAsia="Garamond" w:hAnsi="Garamond" w:cstheme="majorHAnsi"/>
          <w:i/>
          <w:iCs/>
          <w:color w:val="1D1C1D"/>
          <w:sz w:val="24"/>
          <w:szCs w:val="24"/>
        </w:rPr>
        <w:t>m</w:t>
      </w:r>
      <w:r>
        <w:rPr>
          <w:rFonts w:ascii="Garamond" w:eastAsia="Garamond" w:hAnsi="Garamond" w:cstheme="majorHAnsi"/>
          <w:color w:val="1D1C1D"/>
          <w:sz w:val="24"/>
          <w:szCs w:val="24"/>
        </w:rPr>
        <w:t>), and maximum root zone storage deficit (</w:t>
      </w:r>
      <w:r w:rsidRPr="00887A0F">
        <w:rPr>
          <w:rFonts w:ascii="Garamond" w:eastAsia="Garamond" w:hAnsi="Garamond" w:cstheme="majorHAnsi"/>
          <w:i/>
          <w:iCs/>
          <w:color w:val="1D1C1D"/>
          <w:sz w:val="24"/>
          <w:szCs w:val="24"/>
        </w:rPr>
        <w:t>sr</w:t>
      </w:r>
      <w:r w:rsidRPr="00887A0F">
        <w:rPr>
          <w:rFonts w:ascii="Garamond" w:eastAsia="Garamond" w:hAnsi="Garamond" w:cstheme="majorHAnsi"/>
          <w:i/>
          <w:iCs/>
          <w:color w:val="1D1C1D"/>
          <w:sz w:val="24"/>
          <w:szCs w:val="24"/>
          <w:vertAlign w:val="subscript"/>
        </w:rPr>
        <w:t>max</w:t>
      </w:r>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t>
      </w:r>
      <w:r>
        <w:rPr>
          <w:rFonts w:ascii="Garamond" w:eastAsia="Garamond" w:hAnsi="Garamond" w:cstheme="majorHAnsi"/>
          <w:color w:val="1D1C1D"/>
          <w:sz w:val="24"/>
          <w:szCs w:val="24"/>
        </w:rPr>
        <w:lastRenderedPageBreak/>
        <w:t xml:space="preserve">would affect simulated flow. One interesting conclusion drawn from this analysis is that different months of the year need to be calibrated with different values of </w:t>
      </w:r>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18"/>
      <w:commentRangeEnd w:id="18"/>
      <w:r>
        <w:commentReference w:id="18"/>
      </w:r>
      <w:r w:rsidR="00FC7FAB">
        <w:rPr>
          <w:rFonts w:ascii="Garamond" w:eastAsia="Garamond" w:hAnsi="Garamond" w:cstheme="majorHAnsi"/>
          <w:i/>
          <w:sz w:val="24"/>
          <w:szCs w:val="24"/>
        </w:rPr>
        <w:t>Model</w:t>
      </w:r>
    </w:p>
    <w:p w14:paraId="7577451D" w14:textId="1BF0E9F1" w:rsidR="009C6A68" w:rsidRDefault="00610F2D">
      <w:pPr>
        <w:spacing w:line="240" w:lineRule="auto"/>
        <w:jc w:val="both"/>
      </w:pPr>
      <w:r>
        <w:rPr>
          <w:rFonts w:ascii="Garamond" w:eastAsia="Garamond" w:hAnsi="Garamond" w:cstheme="majorHAnsi"/>
          <w:sz w:val="24"/>
          <w:szCs w:val="24"/>
        </w:rPr>
        <w:t xml:space="preserve">Our alternate model </w:t>
      </w:r>
      <w:r w:rsidR="00FC7FAB">
        <w:rPr>
          <w:rFonts w:ascii="Garamond" w:eastAsia="Garamond" w:hAnsi="Garamond" w:cstheme="majorHAnsi"/>
          <w:sz w:val="24"/>
          <w:szCs w:val="24"/>
        </w:rPr>
        <w:t>applies</w:t>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model are that in a given watershed a) the soil is highly porous, and thus the contribution of infiltration excess (Hortonian runoff)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Start w:id="19"/>
      <w:commentRangeEnd w:id="19"/>
      <w:r>
        <w:commentReference w:id="19"/>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46990C5C"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is made of two distinct parts, or algorithms</w:t>
      </w:r>
      <w:r w:rsidR="00507536">
        <w:rPr>
          <w:rFonts w:ascii="Garamond" w:eastAsia="Garamond" w:hAnsi="Garamond" w:cstheme="majorHAnsi"/>
          <w:sz w:val="24"/>
          <w:szCs w:val="24"/>
        </w:rPr>
        <w:t>, as illustrated in Figure 3</w:t>
      </w:r>
      <w:r>
        <w:rPr>
          <w:rFonts w:ascii="Garamond" w:eastAsia="Garamond" w:hAnsi="Garamond" w:cstheme="majorHAnsi"/>
          <w:sz w:val="24"/>
          <w:szCs w:val="24"/>
        </w:rPr>
        <w:t xml:space="preserve">. Part 1 of the model consists of characterizing the watershed with a relationship between the proportion of saturated area and the total water content in the soil, or equivalently the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uses a DEM to identify flow direction based on the prevalent slope in the D8 scheme </w:t>
      </w:r>
      <w:r w:rsidR="00E91FB0">
        <w:rPr>
          <w:rFonts w:ascii="Garamond" w:eastAsia="Garamond" w:hAnsi="Garamond" w:cstheme="majorHAnsi"/>
          <w:sz w:val="24"/>
          <w:szCs w:val="24"/>
        </w:rPr>
        <w:fldChar w:fldCharType="begin"/>
      </w:r>
      <w:r w:rsidR="00E91FB0">
        <w:rPr>
          <w:rFonts w:ascii="Garamond" w:eastAsia="Garamond" w:hAnsi="Garamond" w:cstheme="majorHAnsi"/>
          <w:sz w:val="24"/>
          <w:szCs w:val="24"/>
        </w:rPr>
        <w:instrText xml:space="preserve"> ADDIN EN.CITE &lt;EndNote&gt;&lt;Cite&gt;&lt;Author&gt;Jenson&lt;/Author&gt;&lt;Year&gt;1988&lt;/Year&gt;&lt;RecNum&gt;10&lt;/RecNum&gt;&lt;DisplayText&gt;&lt;style size="12"&gt;[10]&lt;/style&gt;&lt;/DisplayText&gt;&lt;record&gt;&lt;rec-number&gt;10&lt;/rec-number&gt;&lt;foreign-keys&gt;&lt;key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[10]</w:t>
      </w:r>
      <w:r w:rsidR="00E91FB0">
        <w:rPr>
          <w:rFonts w:ascii="Garamond" w:eastAsia="Garamond" w:hAnsi="Garamond" w:cstheme="majorHAnsi"/>
          <w:sz w:val="24"/>
          <w:szCs w:val="24"/>
        </w:rPr>
        <w:fldChar w:fldCharType="end"/>
      </w:r>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each time step, it identifies the saturated cells, calculates the percentage of the saturated area across the total area of the watershed and records the overall amount of water stored in the aquifer, both in unsaturated and saturated layers. The pseudocode in</w:t>
      </w:r>
      <w:commentRangeStart w:id="20"/>
      <w:commentRangeStart w:id="21"/>
      <w:r>
        <w:rPr>
          <w:rFonts w:ascii="Garamond" w:eastAsia="Garamond" w:hAnsi="Garamond" w:cstheme="majorHAnsi"/>
          <w:sz w:val="24"/>
          <w:szCs w:val="24"/>
        </w:rPr>
        <w:t xml:space="preserve"> </w:t>
      </w:r>
      <w:r w:rsidR="00AE0BB6">
        <w:rPr>
          <w:rFonts w:ascii="Garamond" w:eastAsia="Garamond" w:hAnsi="Garamond" w:cs="Calibri"/>
          <w:sz w:val="24"/>
          <w:szCs w:val="24"/>
        </w:rPr>
        <w:t>Algorithm 1</w:t>
      </w:r>
      <w:r>
        <w:rPr>
          <w:rFonts w:ascii="Garamond" w:eastAsia="Garamond" w:hAnsi="Garamond" w:cstheme="majorHAnsi"/>
          <w:color w:val="3C78D8"/>
          <w:sz w:val="24"/>
          <w:szCs w:val="24"/>
        </w:rPr>
        <w:t xml:space="preserve"> </w:t>
      </w:r>
      <w:commentRangeEnd w:id="20"/>
      <w:r>
        <w:commentReference w:id="20"/>
      </w:r>
      <w:commentRangeEnd w:id="21"/>
      <w:r w:rsidR="00AE0BB6">
        <w:rPr>
          <w:rStyle w:val="CommentReference"/>
        </w:rPr>
        <w:commentReference w:id="21"/>
      </w:r>
      <w:r>
        <w:rPr>
          <w:rFonts w:ascii="Garamond" w:eastAsia="Garamond" w:hAnsi="Garamond" w:cstheme="majorHAnsi"/>
          <w:sz w:val="24"/>
          <w:szCs w:val="24"/>
        </w:rPr>
        <w:t>summarizes the steps in Part 1.</w:t>
      </w:r>
    </w:p>
    <w:p w14:paraId="787C02A1" w14:textId="487DD931" w:rsidR="00507536" w:rsidRDefault="00507536">
      <w:pPr>
        <w:spacing w:line="240" w:lineRule="auto"/>
        <w:jc w:val="both"/>
        <w:rPr>
          <w:rFonts w:ascii="Garamond" w:eastAsia="Garamond" w:hAnsi="Garamond" w:cstheme="majorHAnsi"/>
          <w:sz w:val="24"/>
          <w:szCs w:val="24"/>
        </w:rPr>
      </w:pPr>
    </w:p>
    <w:p w14:paraId="34590748" w14:textId="745C0288" w:rsidR="009C6A68" w:rsidRDefault="00507536">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6B6A8094" wp14:editId="65EEF547">
            <wp:extent cx="5120640" cy="2927300"/>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0640" cy="2927300"/>
                    </a:xfrm>
                    <a:prstGeom prst="rect">
                      <a:avLst/>
                    </a:prstGeom>
                    <a:noFill/>
                  </pic:spPr>
                </pic:pic>
              </a:graphicData>
            </a:graphic>
          </wp:inline>
        </w:drawing>
      </w:r>
    </w:p>
    <w:p w14:paraId="4AD566E8" w14:textId="45561F45" w:rsidR="00507536" w:rsidRDefault="00507536" w:rsidP="00507536">
      <w:pPr>
        <w:spacing w:before="120" w:after="240" w:line="260" w:lineRule="atLeast"/>
      </w:pPr>
      <w:r>
        <w:rPr>
          <w:rFonts w:ascii="Garamond" w:hAnsi="Garamond" w:cstheme="majorHAnsi"/>
          <w:b/>
          <w:bCs/>
          <w:sz w:val="20"/>
          <w:szCs w:val="20"/>
        </w:rPr>
        <w:lastRenderedPageBreak/>
        <w:t xml:space="preserve">Figure </w:t>
      </w:r>
      <w:r>
        <w:rPr>
          <w:rFonts w:ascii="Garamond" w:hAnsi="Garamond" w:cs="Calibri"/>
          <w:b/>
          <w:bCs/>
          <w:sz w:val="20"/>
          <w:szCs w:val="20"/>
        </w:rPr>
        <w:t>3</w:t>
      </w:r>
      <w:r>
        <w:rPr>
          <w:rFonts w:ascii="Garamond" w:hAnsi="Garamond" w:cstheme="majorHAnsi"/>
          <w:b/>
          <w:bCs/>
          <w:sz w:val="20"/>
          <w:szCs w:val="20"/>
        </w:rPr>
        <w:t>.</w:t>
      </w:r>
      <w:r>
        <w:rPr>
          <w:rFonts w:ascii="Garamond" w:hAnsi="Garamond" w:cstheme="majorHAnsi"/>
          <w:i/>
          <w:iCs/>
          <w:sz w:val="20"/>
          <w:szCs w:val="20"/>
        </w:rPr>
        <w:t xml:space="preserve"> </w:t>
      </w:r>
      <w:r>
        <w:rPr>
          <w:rFonts w:ascii="Garamond" w:hAnsi="Garamond" w:cstheme="majorHAnsi"/>
          <w:i/>
          <w:iCs/>
          <w:sz w:val="20"/>
          <w:szCs w:val="20"/>
        </w:rPr>
        <w:t>Overview of the</w:t>
      </w:r>
      <w:r w:rsidRPr="0033754C">
        <w:rPr>
          <w:rFonts w:ascii="Garamond" w:hAnsi="Garamond" w:cstheme="majorHAnsi"/>
          <w:i/>
          <w:iCs/>
          <w:sz w:val="20"/>
          <w:szCs w:val="20"/>
        </w:rPr>
        <w:t xml:space="preserve"> alternate model.</w:t>
      </w:r>
      <w:r>
        <w:rPr>
          <w:rFonts w:ascii="Garamond" w:hAnsi="Garamond" w:cstheme="majorHAnsi"/>
          <w:i/>
          <w:iCs/>
          <w:sz w:val="20"/>
          <w:szCs w:val="20"/>
        </w:rPr>
        <w:t xml:space="preserve"> Part 1 simulates the drainage of </w:t>
      </w:r>
      <w:r w:rsidR="00700F1A">
        <w:rPr>
          <w:rFonts w:ascii="Garamond" w:hAnsi="Garamond" w:cstheme="majorHAnsi"/>
          <w:i/>
          <w:iCs/>
          <w:sz w:val="20"/>
          <w:szCs w:val="20"/>
        </w:rPr>
        <w:t>the watershed from an initial condition of complete saturation to generate the relationship between saturated area and soil moisture. The relationship is used to model the non-linear reservoir in the rainfall-runoff transformation in Part 2.</w:t>
      </w:r>
    </w:p>
    <w:p w14:paraId="08DA16AB" w14:textId="77777777" w:rsidR="00507536" w:rsidRDefault="00507536">
      <w:pPr>
        <w:spacing w:line="240" w:lineRule="auto"/>
        <w:jc w:val="both"/>
        <w:rPr>
          <w:rFonts w:ascii="Garamond" w:eastAsia="Garamond" w:hAnsi="Garamond" w:cstheme="majorHAnsi"/>
          <w:sz w:val="24"/>
          <w:szCs w:val="24"/>
        </w:rPr>
      </w:pPr>
    </w:p>
    <w:p w14:paraId="0FFCE391" w14:textId="77777777" w:rsidR="00261DD8" w:rsidRDefault="00261DD8">
      <w:pPr>
        <w:spacing w:line="240" w:lineRule="auto"/>
        <w:rPr>
          <w:rFonts w:ascii="Garamond" w:hAnsi="Garamond" w:cstheme="majorHAnsi"/>
          <w:b/>
          <w:bCs/>
          <w:sz w:val="20"/>
          <w:szCs w:val="20"/>
        </w:rPr>
      </w:pPr>
      <w:bookmarkStart w:id="22" w:name="_Ref15858714"/>
      <w:r>
        <w:rPr>
          <w:rFonts w:ascii="Garamond" w:hAnsi="Garamond" w:cstheme="majorHAnsi"/>
          <w:b/>
          <w:bCs/>
          <w:i/>
          <w:iCs/>
          <w:sz w:val="20"/>
          <w:szCs w:val="20"/>
        </w:rPr>
        <w:br w:type="page"/>
      </w:r>
    </w:p>
    <w:bookmarkEnd w:id="22"/>
    <w:p w14:paraId="2CBEA46F" w14:textId="04BA0C83" w:rsidR="00261DD8" w:rsidRPr="00261DD8" w:rsidRDefault="00261DD8" w:rsidP="00261DD8">
      <w:pPr>
        <w:pStyle w:val="Caption"/>
        <w:spacing w:before="120" w:after="240" w:line="260" w:lineRule="atLeast"/>
        <w:rPr>
          <w:color w:val="FF0000"/>
        </w:rPr>
      </w:pPr>
      <w:r>
        <w:rPr>
          <w:rFonts w:ascii="Garamond" w:hAnsi="Garamond" w:cstheme="majorHAnsi"/>
          <w:b/>
          <w:bCs/>
          <w:i w:val="0"/>
          <w:iCs w:val="0"/>
          <w:color w:val="auto"/>
          <w:sz w:val="20"/>
          <w:szCs w:val="20"/>
        </w:rPr>
        <w:lastRenderedPageBreak/>
        <w:t>Algorithm 1.</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Pseudo code for Part 1 of the alternate model (DrainTheWatershed). </w:t>
      </w:r>
      <w:r w:rsidRPr="00261DD8">
        <w:rPr>
          <w:rFonts w:ascii="Garamond" w:hAnsi="Garamond" w:cstheme="majorHAnsi"/>
          <w:color w:val="FF0000"/>
          <w:sz w:val="20"/>
          <w:szCs w:val="20"/>
        </w:rPr>
        <w:t>The relationship is built at each timestep from recorded values of Saturated Area Ratio and normalized Storage.</w:t>
      </w:r>
    </w:p>
    <w:p w14:paraId="3A7E1ADB" w14:textId="24286DE8" w:rsidR="00AE0BB6" w:rsidRDefault="00AE0BB6">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75A18E76" wp14:editId="3E0D16FA">
            <wp:extent cx="5943600" cy="4151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51376"/>
                    </a:xfrm>
                    <a:prstGeom prst="rect">
                      <a:avLst/>
                    </a:prstGeom>
                    <a:noFill/>
                  </pic:spPr>
                </pic:pic>
              </a:graphicData>
            </a:graphic>
          </wp:inline>
        </w:drawing>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0583CE15" w:rsidR="009C6A68" w:rsidRDefault="00610F2D">
      <w:pPr>
        <w:spacing w:line="240" w:lineRule="auto"/>
        <w:jc w:val="both"/>
        <w:rPr>
          <w:rFonts w:ascii="Garamond" w:eastAsia="Garamond" w:hAnsi="Garamond" w:cstheme="majorHAnsi"/>
          <w:sz w:val="24"/>
          <w:szCs w:val="24"/>
        </w:rPr>
      </w:pPr>
      <w:commentRangeStart w:id="23"/>
      <w:r>
        <w:rPr>
          <w:rFonts w:ascii="Garamond" w:eastAsia="Garamond" w:hAnsi="Garamond" w:cstheme="majorHAnsi"/>
          <w:sz w:val="24"/>
          <w:szCs w:val="24"/>
        </w:rPr>
        <w:t>The above relationship characterizes</w:t>
      </w:r>
      <w:commentRangeEnd w:id="23"/>
      <w:r>
        <w:commentReference w:id="23"/>
      </w:r>
      <w:r>
        <w:rPr>
          <w:rFonts w:ascii="Garamond" w:eastAsia="Garamond" w:hAnsi="Garamond" w:cstheme="majorHAnsi"/>
          <w:sz w:val="24"/>
          <w:szCs w:val="24"/>
        </w:rPr>
        <w:t xml:space="preserv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storage and overland flow at the outlet of the watershed. Pseudocode in </w:t>
      </w:r>
      <w:r w:rsidR="00265DFE">
        <w:rPr>
          <w:rFonts w:ascii="Garamond" w:eastAsia="Garamond" w:hAnsi="Garamond" w:cs="Calibri"/>
          <w:sz w:val="24"/>
          <w:szCs w:val="24"/>
        </w:rPr>
        <w:t>Algorithm 2</w:t>
      </w:r>
      <w:r>
        <w:rPr>
          <w:rFonts w:ascii="Garamond" w:eastAsia="Garamond" w:hAnsi="Garamond" w:cstheme="majorHAnsi"/>
          <w:sz w:val="24"/>
          <w:szCs w:val="24"/>
        </w:rPr>
        <w:t xml:space="preserve"> summarizes rainfall-runoff transformation algorithm in Part 2. The key concept is that soil water storage and surface runoff, which by hypothesis (c) is generated only from saturation excess, are strictly related and follow the relationship from Part 1.</w:t>
      </w:r>
    </w:p>
    <w:p w14:paraId="23F02E91" w14:textId="77777777" w:rsidR="00261DD8" w:rsidRDefault="00261DD8">
      <w:pPr>
        <w:spacing w:line="240" w:lineRule="auto"/>
        <w:jc w:val="both"/>
      </w:pPr>
    </w:p>
    <w:p w14:paraId="6E9AFC07" w14:textId="77777777" w:rsidR="00261DD8" w:rsidRDefault="00261DD8">
      <w:pPr>
        <w:spacing w:line="240" w:lineRule="auto"/>
        <w:rPr>
          <w:rFonts w:ascii="Garamond" w:hAnsi="Garamond" w:cstheme="majorHAnsi"/>
          <w:b/>
          <w:bCs/>
          <w:sz w:val="20"/>
          <w:szCs w:val="20"/>
        </w:rPr>
      </w:pPr>
      <w:bookmarkStart w:id="24" w:name="_Ref15858689"/>
      <w:r>
        <w:rPr>
          <w:rFonts w:ascii="Garamond" w:hAnsi="Garamond" w:cstheme="majorHAnsi"/>
          <w:b/>
          <w:bCs/>
          <w:i/>
          <w:iCs/>
          <w:sz w:val="20"/>
          <w:szCs w:val="20"/>
        </w:rPr>
        <w:br w:type="page"/>
      </w:r>
    </w:p>
    <w:bookmarkEnd w:id="24"/>
    <w:p w14:paraId="7D7CD9A2" w14:textId="52E45898" w:rsidR="00261DD8" w:rsidRDefault="00261DD8" w:rsidP="00261DD8">
      <w:pPr>
        <w:pStyle w:val="Caption"/>
        <w:spacing w:before="120" w:after="240" w:line="260" w:lineRule="atLeast"/>
      </w:pPr>
      <w:r>
        <w:rPr>
          <w:rFonts w:ascii="Garamond" w:hAnsi="Garamond" w:cstheme="majorHAnsi"/>
          <w:b/>
          <w:bCs/>
          <w:i w:val="0"/>
          <w:iCs w:val="0"/>
          <w:color w:val="auto"/>
          <w:sz w:val="20"/>
          <w:szCs w:val="20"/>
        </w:rPr>
        <w:lastRenderedPageBreak/>
        <w:t>Algorithm 2.</w:t>
      </w:r>
      <w:r>
        <w:rPr>
          <w:rFonts w:ascii="Garamond" w:hAnsi="Garamond" w:cstheme="majorHAnsi"/>
          <w:color w:val="auto"/>
          <w:sz w:val="20"/>
          <w:szCs w:val="20"/>
        </w:rPr>
        <w:t xml:space="preserve"> Pseudocode for Part 2 of the alternate model (RainfallRunoffSimulation).</w:t>
      </w:r>
      <w:commentRangeStart w:id="25"/>
      <w:commentRangeStart w:id="26"/>
      <w:commentRangeEnd w:id="25"/>
      <w:r>
        <w:commentReference w:id="25"/>
      </w:r>
      <w:commentRangeEnd w:id="26"/>
      <w:r>
        <w:rPr>
          <w:rStyle w:val="CommentReference"/>
          <w:i w:val="0"/>
          <w:iCs w:val="0"/>
          <w:color w:val="auto"/>
        </w:rPr>
        <w:commentReference w:id="26"/>
      </w:r>
    </w:p>
    <w:p w14:paraId="3B2A2038" w14:textId="0DBD2BEC" w:rsidR="00AE0BB6" w:rsidRDefault="00AE0BB6">
      <w:pPr>
        <w:spacing w:before="120" w:line="240" w:lineRule="auto"/>
        <w:jc w:val="both"/>
        <w:rPr>
          <w:rFonts w:ascii="Garamond" w:eastAsia="Garamond" w:hAnsi="Garamond" w:cstheme="majorHAnsi"/>
          <w:sz w:val="24"/>
          <w:szCs w:val="24"/>
        </w:rPr>
      </w:pPr>
      <w:r w:rsidRPr="00AE0BB6">
        <w:rPr>
          <w:rFonts w:ascii="Garamond" w:eastAsia="Garamond" w:hAnsi="Garamond" w:cstheme="majorHAnsi"/>
          <w:noProof/>
          <w:sz w:val="24"/>
          <w:szCs w:val="24"/>
        </w:rPr>
        <w:drawing>
          <wp:inline distT="0" distB="0" distL="0" distR="0" wp14:anchorId="2D4AA2B9" wp14:editId="2FDC765E">
            <wp:extent cx="5943600" cy="3178810"/>
            <wp:effectExtent l="0" t="0" r="0" b="2540"/>
            <wp:docPr id="3" name="Picture 2">
              <a:extLst xmlns:a="http://schemas.openxmlformats.org/drawingml/2006/main">
                <a:ext uri="{FF2B5EF4-FFF2-40B4-BE49-F238E27FC236}">
                  <a16:creationId xmlns:a16="http://schemas.microsoft.com/office/drawing/2014/main" id="{40F4ED27-CBF1-452C-A917-7AF8AFFDE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F4ED27-CBF1-452C-A917-7AF8AFFDE431}"/>
                        </a:ext>
                      </a:extLst>
                    </pic:cNvPr>
                    <pic:cNvPicPr>
                      <a:picLocks noChangeAspect="1"/>
                    </pic:cNvPicPr>
                  </pic:nvPicPr>
                  <pic:blipFill>
                    <a:blip r:embed="rId12"/>
                    <a:stretch>
                      <a:fillRect/>
                    </a:stretch>
                  </pic:blipFill>
                  <pic:spPr>
                    <a:xfrm>
                      <a:off x="0" y="0"/>
                      <a:ext cx="5943600" cy="3178810"/>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5.1 Hubbard Brook subcatchment #7</w:t>
      </w:r>
    </w:p>
    <w:p w14:paraId="417DB4E0" w14:textId="772895D0" w:rsidR="009C6A68" w:rsidRDefault="009F1763">
      <w:pPr>
        <w:spacing w:line="240" w:lineRule="auto"/>
        <w:jc w:val="both"/>
      </w:pPr>
      <w:r>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27"/>
      <w:commentRangeEnd w:id="27"/>
      <w:r w:rsidR="00610F2D">
        <w:commentReference w:id="27"/>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Both TOPMODEL and the alternate model reproduced fairly well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2419B49"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Hubbard Brook.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simulation, and are shorter in time. Two weeks in the simulation peaks are better </w:t>
      </w:r>
    </w:p>
    <w:p w14:paraId="06B765C8" w14:textId="2ABBF06C" w:rsidR="009C6A68" w:rsidRDefault="00610F2D">
      <w:pPr>
        <w:pStyle w:val="NormalWeb"/>
        <w:spacing w:beforeAutospacing="0" w:afterAutospacing="0"/>
        <w:jc w:val="both"/>
      </w:pPr>
      <w:commentRangeStart w:id="28"/>
      <w:commentRangeEnd w:id="28"/>
      <w:r>
        <w:commentReference w:id="28"/>
      </w:r>
    </w:p>
    <w:p w14:paraId="44C84ED2" w14:textId="77777777" w:rsidR="009C6A68" w:rsidRDefault="009C6A68">
      <w:pPr>
        <w:pStyle w:val="NormalWeb"/>
        <w:spacing w:beforeAutospacing="0" w:afterAutospacing="0"/>
        <w:jc w:val="both"/>
        <w:rPr>
          <w:rFonts w:ascii="Garamond" w:hAnsi="Garamond" w:cstheme="majorHAnsi"/>
        </w:rPr>
      </w:pPr>
    </w:p>
    <w:p w14:paraId="5384ABB9" w14:textId="73B06DF0" w:rsidR="009C6A68" w:rsidRDefault="000A6D84">
      <w:pPr>
        <w:pStyle w:val="NormalWeb"/>
        <w:spacing w:beforeAutospacing="0" w:afterAutospacing="0"/>
        <w:jc w:val="both"/>
        <w:rPr>
          <w:rFonts w:ascii="Garamond" w:hAnsi="Garamond" w:cstheme="majorHAnsi"/>
        </w:rPr>
      </w:pPr>
      <w:r w:rsidRPr="000A6D84">
        <w:rPr>
          <w:rFonts w:ascii="Garamond" w:hAnsi="Garamond" w:cstheme="majorHAnsi"/>
          <w:lang w:val="en"/>
        </w:rPr>
        <w:drawing>
          <wp:inline distT="0" distB="0" distL="0" distR="0" wp14:anchorId="2B9C77AD" wp14:editId="52769842">
            <wp:extent cx="5943600" cy="6247765"/>
            <wp:effectExtent l="0" t="0" r="0" b="635"/>
            <wp:docPr id="4" name="Picture 3">
              <a:extLst xmlns:a="http://schemas.openxmlformats.org/drawingml/2006/main">
                <a:ext uri="{FF2B5EF4-FFF2-40B4-BE49-F238E27FC236}">
                  <a16:creationId xmlns:a16="http://schemas.microsoft.com/office/drawing/2014/main" id="{EE01891C-5903-4D0B-92AF-64E731863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01891C-5903-4D0B-92AF-64E731863153}"/>
                        </a:ext>
                      </a:extLst>
                    </pic:cNvPr>
                    <pic:cNvPicPr>
                      <a:picLocks noChangeAspect="1"/>
                    </pic:cNvPicPr>
                  </pic:nvPicPr>
                  <pic:blipFill>
                    <a:blip r:embed="rId13"/>
                    <a:stretch>
                      <a:fillRect/>
                    </a:stretch>
                  </pic:blipFill>
                  <pic:spPr>
                    <a:xfrm>
                      <a:off x="0" y="0"/>
                      <a:ext cx="5943600" cy="6247765"/>
                    </a:xfrm>
                    <a:prstGeom prst="rect">
                      <a:avLst/>
                    </a:prstGeom>
                  </pic:spPr>
                </pic:pic>
              </a:graphicData>
            </a:graphic>
          </wp:inline>
        </w:drawing>
      </w:r>
    </w:p>
    <w:p w14:paraId="23BCC574" w14:textId="01479B81" w:rsidR="009C6A68" w:rsidRDefault="00610F2D">
      <w:pPr>
        <w:spacing w:before="120" w:after="240" w:line="260" w:lineRule="atLeast"/>
      </w:pPr>
      <w:bookmarkStart w:id="29" w:name="_Ref15858667"/>
      <w:r>
        <w:rPr>
          <w:rFonts w:ascii="Garamond" w:hAnsi="Garamond" w:cstheme="majorHAnsi"/>
          <w:b/>
          <w:bCs/>
          <w:sz w:val="20"/>
          <w:szCs w:val="20"/>
        </w:rPr>
        <w:t xml:space="preserve">Figure </w:t>
      </w:r>
      <w:bookmarkEnd w:id="29"/>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w:t>
      </w:r>
      <w:r w:rsidRPr="0033754C">
        <w:rPr>
          <w:rFonts w:ascii="Garamond" w:hAnsi="Garamond" w:cstheme="majorHAnsi"/>
          <w:i/>
          <w:iCs/>
          <w:sz w:val="20"/>
          <w:szCs w:val="20"/>
        </w:rPr>
        <w:t>TOPMODEL and alternate model streamflow simulation in Hubbard Brook subcatchment 7 for the period from June 24</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xml:space="preserve"> to July 7</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2014.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519AF3BC" w:rsidR="009C6A68" w:rsidRDefault="009C6A68">
      <w:pPr>
        <w:spacing w:line="240" w:lineRule="auto"/>
        <w:jc w:val="both"/>
        <w:rPr>
          <w:rFonts w:ascii="Garamond" w:eastAsia="Times New Roman" w:hAnsi="Garamond" w:cstheme="majorHAnsi"/>
          <w:sz w:val="24"/>
          <w:szCs w:val="24"/>
          <w:lang w:val="en-US"/>
        </w:rPr>
      </w:pP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0FE2C3CE" w:rsidR="009C6A68" w:rsidRDefault="002E33A9">
      <w:pPr>
        <w:spacing w:line="240" w:lineRule="auto"/>
        <w:jc w:val="both"/>
        <w:rPr>
          <w:rFonts w:ascii="Garamond" w:eastAsia="Times New Roman" w:hAnsi="Garamond" w:cstheme="majorHAnsi"/>
          <w:sz w:val="24"/>
          <w:szCs w:val="24"/>
          <w:lang w:val="en-US"/>
        </w:rPr>
      </w:pPr>
      <w:r w:rsidRPr="002E33A9">
        <w:rPr>
          <w:rFonts w:ascii="Garamond" w:eastAsia="Times New Roman" w:hAnsi="Garamond" w:cstheme="majorHAnsi"/>
          <w:sz w:val="24"/>
          <w:szCs w:val="24"/>
        </w:rPr>
        <w:lastRenderedPageBreak/>
        <w:drawing>
          <wp:inline distT="0" distB="0" distL="0" distR="0" wp14:anchorId="5CAEB47A" wp14:editId="097E6951">
            <wp:extent cx="5943600" cy="6242050"/>
            <wp:effectExtent l="0" t="0" r="0" b="6350"/>
            <wp:docPr id="6" name="Picture 5">
              <a:extLst xmlns:a="http://schemas.openxmlformats.org/drawingml/2006/main">
                <a:ext uri="{FF2B5EF4-FFF2-40B4-BE49-F238E27FC236}">
                  <a16:creationId xmlns:a16="http://schemas.microsoft.com/office/drawing/2014/main" id="{1851F140-15BC-4BB3-845B-2C24995D7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51F140-15BC-4BB3-845B-2C24995D759C}"/>
                        </a:ext>
                      </a:extLst>
                    </pic:cNvPr>
                    <pic:cNvPicPr>
                      <a:picLocks noChangeAspect="1"/>
                    </pic:cNvPicPr>
                  </pic:nvPicPr>
                  <pic:blipFill>
                    <a:blip r:embed="rId14"/>
                    <a:stretch>
                      <a:fillRect/>
                    </a:stretch>
                  </pic:blipFill>
                  <pic:spPr>
                    <a:xfrm>
                      <a:off x="0" y="0"/>
                      <a:ext cx="5943600" cy="6242050"/>
                    </a:xfrm>
                    <a:prstGeom prst="rect">
                      <a:avLst/>
                    </a:prstGeom>
                  </pic:spPr>
                </pic:pic>
              </a:graphicData>
            </a:graphic>
          </wp:inline>
        </w:drawing>
      </w:r>
    </w:p>
    <w:p w14:paraId="66386F79" w14:textId="033349D1"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w:t>
      </w:r>
      <w:r w:rsidR="002E33A9">
        <w:rPr>
          <w:rFonts w:ascii="Garamond" w:hAnsi="Garamond" w:cstheme="majorHAnsi"/>
          <w:color w:val="auto"/>
          <w:sz w:val="20"/>
          <w:szCs w:val="20"/>
        </w:rPr>
        <w:t xml:space="preserve"> W-3 watershed</w:t>
      </w:r>
      <w:r>
        <w:rPr>
          <w:rFonts w:ascii="Garamond" w:hAnsi="Garamond" w:cstheme="majorHAnsi"/>
          <w:color w:val="auto"/>
          <w:sz w:val="20"/>
          <w:szCs w:val="20"/>
        </w:rPr>
        <w:t xml:space="preserve"> for the period April 30th to June 12th, 2017. Decay parameter for transmissivity m = 0.0279, as estimated from sensitivity analysis.</w:t>
      </w:r>
      <w:commentRangeStart w:id="30"/>
      <w:commentRangeEnd w:id="30"/>
      <w:r>
        <w:commentReference w:id="30"/>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161CC25A" w14:textId="49CAFA95"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&lt;EndNote&gt;&lt;Cite&gt;&lt;Author&gt;Beven&lt;/Author&gt;&lt;Year&gt;2001&lt;/Year&gt;&lt;RecNum&gt;11&lt;/RecNum&gt;&lt;DisplayText&gt;&lt;style size="12"&gt;[11]&lt;/style&gt;&lt;/DisplayText&gt;&lt;record&gt;&lt;rec-number&gt;11&lt;/rec-number&gt;&lt;foreign-keys&gt;&lt;key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[11]</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41B382D2" w:rsidR="009C6A68" w:rsidRDefault="00610F2D">
      <w:pPr>
        <w:spacing w:line="240" w:lineRule="auto"/>
        <w:jc w:val="both"/>
      </w:pPr>
      <w:r>
        <w:rPr>
          <w:rFonts w:ascii="Garamond" w:eastAsia="Garamond" w:hAnsi="Garamond" w:cstheme="majorHAnsi"/>
          <w:sz w:val="24"/>
          <w:szCs w:val="24"/>
        </w:rPr>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&lt;EndNote&gt;&lt;Cite&gt;&lt;Author&gt;McCuen&lt;/Author&gt;&lt;Year&gt;2006&lt;/Year&gt;&lt;RecNum&gt;12&lt;/RecNum&gt;&lt;DisplayText&gt;&lt;style size="12"&gt;[12]&lt;/style&gt;&lt;/DisplayText&gt;&lt;record&gt;&lt;rec-number&gt;12&lt;/rec-number&gt;&lt;foreign-keys&gt;&lt;key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E0ACB">
        <w:rPr>
          <w:rFonts w:ascii="Garamond" w:eastAsia="Garamond" w:hAnsi="Garamond" w:cstheme="majorHAnsi"/>
          <w:noProof/>
          <w:sz w:val="24"/>
          <w:szCs w:val="24"/>
        </w:rPr>
        <w:t>[12]</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2E33A9">
        <w:rPr>
          <w:rFonts w:ascii="Garamond" w:eastAsia="Garamond" w:hAnsi="Garamond" w:cstheme="majorHAnsi"/>
          <w:color w:val="000000" w:themeColor="text1"/>
          <w:sz w:val="24"/>
          <w:szCs w:val="24"/>
        </w:rPr>
        <w:t>Figure</w:t>
      </w:r>
      <w:r w:rsidR="002E33A9" w:rsidRPr="002E33A9">
        <w:rPr>
          <w:rFonts w:ascii="Garamond" w:eastAsia="Garamond" w:hAnsi="Garamond" w:cstheme="majorHAnsi"/>
          <w:color w:val="000000" w:themeColor="text1"/>
          <w:sz w:val="24"/>
          <w:szCs w:val="24"/>
        </w:rPr>
        <w:t xml:space="preserve"> 5</w:t>
      </w:r>
      <w:r w:rsidR="0063476E" w:rsidRPr="002E33A9">
        <w:rPr>
          <w:rFonts w:ascii="Garamond" w:eastAsia="Garamond" w:hAnsi="Garamond" w:cstheme="majorHAnsi"/>
          <w:color w:val="000000" w:themeColor="text1"/>
          <w:sz w:val="24"/>
          <w:szCs w:val="24"/>
        </w:rPr>
        <w:t xml:space="preserve"> </w:t>
      </w:r>
      <w:r w:rsidR="0063476E">
        <w:rPr>
          <w:rFonts w:ascii="Garamond" w:eastAsia="Garamond" w:hAnsi="Garamond" w:cstheme="majorHAnsi"/>
          <w:sz w:val="24"/>
          <w:szCs w:val="24"/>
        </w:rPr>
        <w:t>already show</w:t>
      </w:r>
      <w:r w:rsidR="002E33A9">
        <w:rPr>
          <w:rFonts w:ascii="Garamond" w:eastAsia="Garamond" w:hAnsi="Garamond" w:cstheme="majorHAnsi"/>
          <w:sz w:val="24"/>
          <w:szCs w:val="24"/>
        </w:rPr>
        <w:t>s</w:t>
      </w:r>
      <w:r w:rsidR="0063476E">
        <w:rPr>
          <w:rFonts w:ascii="Garamond" w:eastAsia="Garamond" w:hAnsi="Garamond" w:cstheme="majorHAnsi"/>
          <w:sz w:val="24"/>
          <w:szCs w:val="24"/>
        </w:rPr>
        <w:t xml:space="preserve"> systematic high discrepancies between</w:t>
      </w:r>
      <w:r>
        <w:rPr>
          <w:rFonts w:ascii="Garamond" w:eastAsia="Garamond" w:hAnsi="Garamond" w:cstheme="majorHAnsi"/>
          <w:sz w:val="24"/>
          <w:szCs w:val="24"/>
        </w:rPr>
        <w:t xml:space="preserve"> modeled and observed streamflow</w:t>
      </w:r>
      <w:commentRangeStart w:id="31"/>
      <w:commentRangeEnd w:id="31"/>
      <w:r>
        <w:commentReference w:id="31"/>
      </w:r>
      <w:r w:rsidR="002E33A9">
        <w:rPr>
          <w:rFonts w:ascii="Garamond" w:eastAsia="Garamond" w:hAnsi="Garamond" w:cstheme="majorHAnsi"/>
          <w:sz w:val="24"/>
          <w:szCs w:val="24"/>
        </w:rPr>
        <w:t xml:space="preserve"> </w:t>
      </w:r>
      <w:r w:rsidR="002E33A9">
        <w:rPr>
          <w:rFonts w:ascii="Garamond" w:eastAsia="Garamond" w:hAnsi="Garamond" w:cstheme="majorHAnsi"/>
          <w:sz w:val="24"/>
          <w:szCs w:val="24"/>
        </w:rPr>
        <w:t>at major peaks</w:t>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the</w:t>
      </w:r>
      <w:commentRangeStart w:id="32"/>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2"/>
      <w:r>
        <w:commentReference w:id="32"/>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all of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5"/>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3"/>
      <w:commentRangeEnd w:id="33"/>
      <w:r>
        <w:commentReference w:id="33"/>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42FE987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E35590">
        <w:rPr>
          <w:rFonts w:ascii="Garamond" w:eastAsia="Garamond" w:hAnsi="Garamond" w:cstheme="majorHAnsi"/>
          <w:sz w:val="24"/>
          <w:szCs w:val="24"/>
        </w:rPr>
        <w:instrText xml:space="preserve"> ADDIN EN.CITE &lt;EndNote&gt;&lt;Cite&gt;&lt;Author&gt;Sigdel&lt;/Author&gt;&lt;Year&gt;2011&lt;/Year&gt;&lt;RecNum&gt;13&lt;/RecNum&gt;&lt;DisplayText&gt;&lt;style size="12"&gt;[13]&lt;/style&gt;&lt;/DisplayText&gt;&lt;record&gt;&lt;rec-number&gt;13&lt;/rec-number&gt;&lt;foreign-keys&gt;&lt;key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E35590">
        <w:rPr>
          <w:rFonts w:ascii="Garamond" w:eastAsia="Garamond" w:hAnsi="Garamond" w:cstheme="majorHAnsi"/>
          <w:noProof/>
          <w:sz w:val="24"/>
          <w:szCs w:val="24"/>
        </w:rPr>
        <w:t>[13]</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4"/>
      <w:commentRangeEnd w:id="34"/>
      <w:r>
        <w:commentReference w:id="34"/>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5"/>
      <w:r>
        <w:rPr>
          <w:rFonts w:ascii="Garamond" w:eastAsia="Garamond" w:hAnsi="Garamond" w:cstheme="majorHAnsi"/>
          <w:sz w:val="24"/>
          <w:szCs w:val="24"/>
        </w:rPr>
        <w:t>climate</w:t>
      </w:r>
      <w:commentRangeEnd w:id="35"/>
      <w:r>
        <w:commentReference w:id="35"/>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36"/>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36"/>
      <w:r w:rsidR="00610F2D">
        <w:commentReference w:id="36"/>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absolutely relevant in this context.</w:t>
      </w:r>
      <w:commentRangeStart w:id="37"/>
      <w:commentRangeEnd w:id="37"/>
      <w:r w:rsidR="00610F2D">
        <w:commentReference w:id="37"/>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6">
        <w:r>
          <w:rPr>
            <w:rStyle w:val="ListLabel1"/>
          </w:rPr>
          <w:t>https://github.com/brittbarreto/Aquaholics_Anonymous</w:t>
        </w:r>
      </w:hyperlink>
      <w:r>
        <w:rPr>
          <w:rFonts w:ascii="Garamond" w:eastAsia="Garamond" w:hAnsi="Garamond" w:cstheme="majorHAnsi"/>
          <w:sz w:val="24"/>
          <w:szCs w:val="24"/>
        </w:rPr>
        <w:t>,</w:t>
      </w:r>
      <w:commentRangeStart w:id="38"/>
      <w:commentRangeEnd w:id="38"/>
      <w:r>
        <w:commentReference w:id="38"/>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39"/>
      <w:r>
        <w:rPr>
          <w:rFonts w:ascii="Garamond" w:eastAsia="Garamond" w:hAnsi="Garamond" w:cstheme="majorHAnsi"/>
          <w:b/>
          <w:sz w:val="24"/>
          <w:szCs w:val="24"/>
        </w:rPr>
        <w:lastRenderedPageBreak/>
        <w:t>References</w:t>
      </w:r>
      <w:commentRangeEnd w:id="39"/>
      <w:r w:rsidR="00A5566E">
        <w:rPr>
          <w:rStyle w:val="CommentReference"/>
        </w:rPr>
        <w:commentReference w:id="39"/>
      </w:r>
    </w:p>
    <w:p w14:paraId="4354CC97" w14:textId="77777777" w:rsidR="008918E5" w:rsidRPr="008918E5" w:rsidRDefault="003A193F" w:rsidP="008918E5">
      <w:pPr>
        <w:pStyle w:val="EndNoteBibliography"/>
      </w:pPr>
      <w:r w:rsidRPr="008918E5">
        <w:rPr>
          <w:rFonts w:ascii="Garamond" w:hAnsi="Garamond"/>
          <w:sz w:val="24"/>
          <w:szCs w:val="24"/>
        </w:rPr>
        <w:fldChar w:fldCharType="begin"/>
      </w:r>
      <w:r w:rsidRPr="008918E5">
        <w:rPr>
          <w:rFonts w:ascii="Garamond" w:hAnsi="Garamond"/>
          <w:sz w:val="24"/>
          <w:szCs w:val="24"/>
        </w:rPr>
        <w:instrText xml:space="preserve"> ADDIN EN.REFLIST </w:instrText>
      </w:r>
      <w:r w:rsidRPr="008918E5">
        <w:rPr>
          <w:rFonts w:ascii="Garamond" w:hAnsi="Garamond"/>
          <w:sz w:val="24"/>
          <w:szCs w:val="24"/>
        </w:rPr>
        <w:fldChar w:fldCharType="separate"/>
      </w:r>
      <w:r w:rsidR="008918E5" w:rsidRPr="008918E5">
        <w:t>1.</w:t>
      </w:r>
      <w:r w:rsidR="008918E5" w:rsidRPr="008918E5">
        <w:tab/>
        <w:t>Beven, K.; Lamb, R.; Quinn, P.; Romanowicz, R.; Freer, J., TOPMODEL. In</w:t>
      </w:r>
      <w:r w:rsidR="008918E5" w:rsidRPr="008918E5">
        <w:rPr>
          <w:rFonts w:ascii="Symbol" w:hAnsi="Symbol"/>
        </w:rPr>
        <w:t xml:space="preserve"> </w:t>
      </w:r>
      <w:r w:rsidR="008918E5" w:rsidRPr="008918E5">
        <w:rPr>
          <w:i/>
        </w:rPr>
        <w:t>Computer Models of Watershed Hydrology</w:t>
      </w:r>
      <w:r w:rsidR="008918E5" w:rsidRPr="008918E5">
        <w:t>, 1</w:t>
      </w:r>
      <w:r w:rsidR="008918E5" w:rsidRPr="008918E5">
        <w:rPr>
          <w:rFonts w:ascii="Symbol" w:hAnsi="Symbol"/>
        </w:rPr>
        <w:t xml:space="preserve"> </w:t>
      </w:r>
      <w:r w:rsidR="008918E5" w:rsidRPr="008918E5">
        <w:t>ed.; Singh, V.,</w:t>
      </w:r>
      <w:r w:rsidR="008918E5" w:rsidRPr="008918E5">
        <w:rPr>
          <w:rFonts w:ascii="Symbol" w:hAnsi="Symbol"/>
        </w:rPr>
        <w:t xml:space="preserve"> </w:t>
      </w:r>
      <w:r w:rsidR="008918E5" w:rsidRPr="008918E5">
        <w:t>Ed.; Water Resources Publications: Highlands Ranch, CO, USA, 1995.</w:t>
      </w:r>
    </w:p>
    <w:p w14:paraId="6FF258F7" w14:textId="42B29B99" w:rsidR="008918E5" w:rsidRPr="008918E5" w:rsidRDefault="008918E5" w:rsidP="008918E5">
      <w:pPr>
        <w:pStyle w:val="EndNoteBibliography"/>
      </w:pPr>
      <w:r w:rsidRPr="008918E5">
        <w:t>2.</w:t>
      </w:r>
      <w:r w:rsidRPr="008918E5">
        <w:tab/>
        <w:t xml:space="preserve">Nourani, V.; Roughani, A.; Gebremichael, M., TOPMODEL capability for rainfall-runoff modeling of the Ammameh watershed at different time scales using different terrain algorithms. </w:t>
      </w:r>
      <w:r w:rsidRPr="008918E5">
        <w:rPr>
          <w:i/>
        </w:rPr>
        <w:t xml:space="preserve">J. Urban Environ. Eng. </w:t>
      </w:r>
      <w:r w:rsidRPr="008918E5">
        <w:rPr>
          <w:b/>
        </w:rPr>
        <w:t>2011,</w:t>
      </w:r>
      <w:r w:rsidRPr="008918E5">
        <w:t xml:space="preserve"> </w:t>
      </w:r>
      <w:r w:rsidRPr="008918E5">
        <w:rPr>
          <w:i/>
        </w:rPr>
        <w:t>5</w:t>
      </w:r>
      <w:r w:rsidRPr="008918E5">
        <w:t xml:space="preserve"> (1), 1-14, </w:t>
      </w:r>
      <w:hyperlink r:id="rId17" w:history="1">
        <w:r w:rsidRPr="008918E5">
          <w:rPr>
            <w:rStyle w:val="Hyperlink"/>
          </w:rPr>
          <w:t>https://doi.org/10.4090/juee.2011.v5n1.001014</w:t>
        </w:r>
      </w:hyperlink>
      <w:r w:rsidRPr="008918E5">
        <w:t>.</w:t>
      </w:r>
    </w:p>
    <w:p w14:paraId="7D0C52EF" w14:textId="36D634BD" w:rsidR="008918E5" w:rsidRPr="008918E5" w:rsidRDefault="008918E5" w:rsidP="008918E5">
      <w:pPr>
        <w:pStyle w:val="EndNoteBibliography"/>
      </w:pPr>
      <w:r w:rsidRPr="008918E5">
        <w:t>3.</w:t>
      </w:r>
      <w:r w:rsidRPr="008918E5">
        <w:tab/>
        <w:t xml:space="preserve">Buytaert, W., topmodel: Implementation of the hydrological model TOPMODEL in R, R package version 0.7.3, </w:t>
      </w:r>
      <w:hyperlink r:id="rId18" w:history="1">
        <w:r w:rsidRPr="008918E5">
          <w:rPr>
            <w:rStyle w:val="Hyperlink"/>
          </w:rPr>
          <w:t>https://CRAN.R-project.org/package=topmodel</w:t>
        </w:r>
      </w:hyperlink>
      <w:r w:rsidRPr="008918E5">
        <w:t>, 2018.</w:t>
      </w:r>
    </w:p>
    <w:p w14:paraId="7C105294" w14:textId="4DAE0A94" w:rsidR="008918E5" w:rsidRPr="008918E5" w:rsidRDefault="008918E5" w:rsidP="008918E5">
      <w:pPr>
        <w:pStyle w:val="EndNoteBibliography"/>
      </w:pPr>
      <w:r w:rsidRPr="008918E5">
        <w:t>4.</w:t>
      </w:r>
      <w:r w:rsidRPr="008918E5">
        <w:tab/>
        <w:t>Niu, G. Y.; Yang, Z. L.; Dickinson, R. E.; Gulden, L. E., A simple TOPMODEL</w:t>
      </w:r>
      <w:r w:rsidRPr="008918E5">
        <w:rPr>
          <w:rFonts w:ascii="Cambria Math" w:hAnsi="Cambria Math" w:cs="Cambria Math"/>
        </w:rPr>
        <w:t>‐</w:t>
      </w:r>
      <w:r w:rsidRPr="008918E5">
        <w:t xml:space="preserve">based runoff parameterization (SIMTOP) for use in global climate models. </w:t>
      </w:r>
      <w:r w:rsidRPr="008918E5">
        <w:rPr>
          <w:i/>
        </w:rPr>
        <w:t xml:space="preserve">J. Geophys. Res. Atmos. </w:t>
      </w:r>
      <w:r w:rsidRPr="008918E5">
        <w:rPr>
          <w:b/>
        </w:rPr>
        <w:t>2005,</w:t>
      </w:r>
      <w:r w:rsidRPr="008918E5">
        <w:t xml:space="preserve"> </w:t>
      </w:r>
      <w:r w:rsidRPr="008918E5">
        <w:rPr>
          <w:i/>
        </w:rPr>
        <w:t>110</w:t>
      </w:r>
      <w:r w:rsidRPr="008918E5">
        <w:t xml:space="preserve"> (D21), </w:t>
      </w:r>
      <w:hyperlink r:id="rId19" w:history="1">
        <w:r w:rsidRPr="008918E5">
          <w:rPr>
            <w:rStyle w:val="Hyperlink"/>
          </w:rPr>
          <w:t>https://doi.org/10.1029/2005JD006111</w:t>
        </w:r>
      </w:hyperlink>
      <w:r w:rsidRPr="008918E5">
        <w:t>.</w:t>
      </w:r>
    </w:p>
    <w:p w14:paraId="2F1D2D27" w14:textId="59845BEF" w:rsidR="008918E5" w:rsidRPr="008918E5" w:rsidRDefault="008918E5" w:rsidP="008918E5">
      <w:pPr>
        <w:pStyle w:val="EndNoteBibliography"/>
      </w:pPr>
      <w:r w:rsidRPr="008918E5">
        <w:t>5.</w:t>
      </w:r>
      <w:r w:rsidRPr="008918E5">
        <w:tab/>
        <w:t xml:space="preserve">Gedney, N.; Cox, P. M., The sensitivity of global climate model simulations to the representation of soil moisture heterogeneity. </w:t>
      </w:r>
      <w:r w:rsidRPr="008918E5">
        <w:rPr>
          <w:i/>
        </w:rPr>
        <w:t xml:space="preserve">J. Hydrometeorol. </w:t>
      </w:r>
      <w:r w:rsidRPr="008918E5">
        <w:rPr>
          <w:b/>
        </w:rPr>
        <w:t>2003,</w:t>
      </w:r>
      <w:r w:rsidRPr="008918E5">
        <w:t xml:space="preserve"> </w:t>
      </w:r>
      <w:r w:rsidRPr="008918E5">
        <w:rPr>
          <w:i/>
        </w:rPr>
        <w:t>4</w:t>
      </w:r>
      <w:r w:rsidRPr="008918E5">
        <w:t xml:space="preserve"> (6), 1265-1275, </w:t>
      </w:r>
      <w:hyperlink r:id="rId20" w:history="1">
        <w:r w:rsidRPr="008918E5">
          <w:rPr>
            <w:rStyle w:val="Hyperlink"/>
          </w:rPr>
          <w:t>https://doi.org/10.1175/1525-7541(2003)004</w:t>
        </w:r>
      </w:hyperlink>
      <w:r w:rsidRPr="008918E5">
        <w:t>&lt;1265:TSOGCM&gt;2.0.CO;2.</w:t>
      </w:r>
    </w:p>
    <w:p w14:paraId="50B5F0CC" w14:textId="77777777" w:rsidR="008918E5" w:rsidRPr="008918E5" w:rsidRDefault="008918E5" w:rsidP="008918E5">
      <w:pPr>
        <w:pStyle w:val="EndNoteBibliography"/>
      </w:pPr>
      <w:r w:rsidRPr="008918E5">
        <w:t>6.</w:t>
      </w:r>
      <w:r w:rsidRPr="008918E5">
        <w:tab/>
        <w:t>USDA US Forest Service, Hubbard Brook Experimental Forest.</w:t>
      </w:r>
    </w:p>
    <w:p w14:paraId="7046E821" w14:textId="69EC923A" w:rsidR="008918E5" w:rsidRPr="008918E5" w:rsidRDefault="008918E5" w:rsidP="008918E5">
      <w:pPr>
        <w:pStyle w:val="EndNoteBibliography"/>
      </w:pPr>
      <w:r w:rsidRPr="008918E5">
        <w:t>7.</w:t>
      </w:r>
      <w:r w:rsidRPr="008918E5">
        <w:tab/>
        <w:t xml:space="preserve">Cawley, K. M.; Campbell, J.; Zwilling, M.; Jaffé, R., Evaluation of forest disturbance legacy effects on dissolved organic matter characteristics in streams at the Hubbard Brook Experimental Forest, New Hampshire. </w:t>
      </w:r>
      <w:r w:rsidRPr="008918E5">
        <w:rPr>
          <w:i/>
        </w:rPr>
        <w:t xml:space="preserve">Aquat. Sci. </w:t>
      </w:r>
      <w:r w:rsidRPr="008918E5">
        <w:rPr>
          <w:b/>
        </w:rPr>
        <w:t>2014,</w:t>
      </w:r>
      <w:r w:rsidRPr="008918E5">
        <w:t xml:space="preserve"> </w:t>
      </w:r>
      <w:r w:rsidRPr="008918E5">
        <w:rPr>
          <w:i/>
        </w:rPr>
        <w:t>76</w:t>
      </w:r>
      <w:r w:rsidRPr="008918E5">
        <w:t xml:space="preserve"> (4), 611-622, </w:t>
      </w:r>
      <w:hyperlink r:id="rId21" w:history="1">
        <w:r w:rsidRPr="008918E5">
          <w:rPr>
            <w:rStyle w:val="Hyperlink"/>
          </w:rPr>
          <w:t>https://doi.org/10.1007/s00027-014-0358-3</w:t>
        </w:r>
      </w:hyperlink>
      <w:r w:rsidRPr="008918E5">
        <w:t>.</w:t>
      </w:r>
    </w:p>
    <w:p w14:paraId="1A27C054" w14:textId="2D738072" w:rsidR="008918E5" w:rsidRPr="008918E5" w:rsidRDefault="008918E5" w:rsidP="008918E5">
      <w:pPr>
        <w:pStyle w:val="EndNoteBibliography"/>
      </w:pPr>
      <w:r w:rsidRPr="008918E5">
        <w:t>8.</w:t>
      </w:r>
      <w:r w:rsidRPr="008918E5">
        <w:tab/>
        <w:t xml:space="preserve">Shanley, J. B. </w:t>
      </w:r>
      <w:r w:rsidRPr="008918E5">
        <w:rPr>
          <w:i/>
        </w:rPr>
        <w:t>Sleepers River, Vermont: A water, energy, and biogeochemical budgets program site</w:t>
      </w:r>
      <w:r w:rsidRPr="008918E5">
        <w:t xml:space="preserve">; 2327-6932; US Geological Survey Fact Sheet-166-99: 2000, </w:t>
      </w:r>
      <w:hyperlink r:id="rId22" w:history="1">
        <w:r w:rsidRPr="008918E5">
          <w:rPr>
            <w:rStyle w:val="Hyperlink"/>
          </w:rPr>
          <w:t>https://doi.org/10.3133/fs16699</w:t>
        </w:r>
      </w:hyperlink>
      <w:r w:rsidRPr="008918E5">
        <w:t>.</w:t>
      </w:r>
    </w:p>
    <w:p w14:paraId="54D60CFD" w14:textId="77777777" w:rsidR="008918E5" w:rsidRPr="008918E5" w:rsidRDefault="008918E5" w:rsidP="008918E5">
      <w:pPr>
        <w:pStyle w:val="EndNoteBibliography"/>
      </w:pPr>
      <w:r w:rsidRPr="008918E5">
        <w:t>9.</w:t>
      </w:r>
      <w:r w:rsidRPr="008918E5">
        <w:tab/>
        <w:t>Kitzmiller, D. H.; Wu, W.; Zhang, Z.; Patrick, N.; Tan, X. The Analysis of Record for Calibration: A High-Resolution Precipitation and Surface Weather Dataset for the United States.  AGU Fall Meeting Abstracts, 2018.</w:t>
      </w:r>
    </w:p>
    <w:p w14:paraId="66886A5A" w14:textId="77777777" w:rsidR="008918E5" w:rsidRPr="008918E5" w:rsidRDefault="008918E5" w:rsidP="008918E5">
      <w:pPr>
        <w:pStyle w:val="EndNoteBibliography"/>
      </w:pPr>
      <w:r w:rsidRPr="008918E5">
        <w:t>10.</w:t>
      </w:r>
      <w:r w:rsidRPr="008918E5">
        <w:tab/>
        <w:t xml:space="preserve">Jenson, S. K.; Domingue, J. O., Extracting topographic structure from digital elevation data for geographic information system analysis. </w:t>
      </w:r>
      <w:r w:rsidRPr="008918E5">
        <w:rPr>
          <w:i/>
        </w:rPr>
        <w:t xml:space="preserve">Photogramm. Eng. Remote Sensing </w:t>
      </w:r>
      <w:r w:rsidRPr="008918E5">
        <w:rPr>
          <w:b/>
        </w:rPr>
        <w:t>1988,</w:t>
      </w:r>
      <w:r w:rsidRPr="008918E5">
        <w:t xml:space="preserve"> </w:t>
      </w:r>
      <w:r w:rsidRPr="008918E5">
        <w:rPr>
          <w:i/>
        </w:rPr>
        <w:t>54</w:t>
      </w:r>
      <w:r w:rsidRPr="008918E5">
        <w:t xml:space="preserve"> (11), 1593-1600.</w:t>
      </w:r>
    </w:p>
    <w:p w14:paraId="2E969A9C" w14:textId="701FA20E" w:rsidR="008918E5" w:rsidRPr="008918E5" w:rsidRDefault="008918E5" w:rsidP="008918E5">
      <w:pPr>
        <w:pStyle w:val="EndNoteBibliography"/>
      </w:pPr>
      <w:r w:rsidRPr="008918E5">
        <w:t>11.</w:t>
      </w:r>
      <w:r w:rsidRPr="008918E5">
        <w:tab/>
        <w:t xml:space="preserve">Beven, K.; Freer, J., A dynamic topmodel. </w:t>
      </w:r>
      <w:r w:rsidRPr="008918E5">
        <w:rPr>
          <w:i/>
        </w:rPr>
        <w:t xml:space="preserve">Hydrol. Process. </w:t>
      </w:r>
      <w:r w:rsidRPr="008918E5">
        <w:rPr>
          <w:b/>
        </w:rPr>
        <w:t>2001,</w:t>
      </w:r>
      <w:r w:rsidRPr="008918E5">
        <w:t xml:space="preserve"> </w:t>
      </w:r>
      <w:r w:rsidRPr="008918E5">
        <w:rPr>
          <w:i/>
        </w:rPr>
        <w:t>15</w:t>
      </w:r>
      <w:r w:rsidRPr="008918E5">
        <w:t xml:space="preserve"> (10), 1993-2011, </w:t>
      </w:r>
      <w:hyperlink r:id="rId23" w:history="1">
        <w:r w:rsidRPr="008918E5">
          <w:rPr>
            <w:rStyle w:val="Hyperlink"/>
          </w:rPr>
          <w:t>https://doi.org/10.1002/hyp.252</w:t>
        </w:r>
      </w:hyperlink>
      <w:r w:rsidRPr="008918E5">
        <w:t>.</w:t>
      </w:r>
    </w:p>
    <w:p w14:paraId="67CCE9FF" w14:textId="6767BD89" w:rsidR="008918E5" w:rsidRPr="008918E5" w:rsidRDefault="008918E5" w:rsidP="008918E5">
      <w:pPr>
        <w:pStyle w:val="EndNoteBibliography"/>
      </w:pPr>
      <w:r w:rsidRPr="008918E5">
        <w:t>12.</w:t>
      </w:r>
      <w:r w:rsidRPr="008918E5">
        <w:tab/>
        <w:t xml:space="preserve">McCuen, R. H.; Knight, Z.; Cutter, A. G., Evaluation of the Nash–Sutcliffe efficiency index. </w:t>
      </w:r>
      <w:r w:rsidRPr="008918E5">
        <w:rPr>
          <w:i/>
        </w:rPr>
        <w:t xml:space="preserve">J. Hydrol. Eng. </w:t>
      </w:r>
      <w:r w:rsidRPr="008918E5">
        <w:rPr>
          <w:b/>
        </w:rPr>
        <w:t>2006,</w:t>
      </w:r>
      <w:r w:rsidRPr="008918E5">
        <w:t xml:space="preserve"> </w:t>
      </w:r>
      <w:r w:rsidRPr="008918E5">
        <w:rPr>
          <w:i/>
        </w:rPr>
        <w:t>11</w:t>
      </w:r>
      <w:r w:rsidRPr="008918E5">
        <w:t xml:space="preserve"> (6), 597-602, </w:t>
      </w:r>
      <w:hyperlink r:id="rId24" w:history="1">
        <w:r w:rsidRPr="008918E5">
          <w:rPr>
            <w:rStyle w:val="Hyperlink"/>
          </w:rPr>
          <w:t>https://doi.org/10.1061/(ASCE)1084-0699(2006)11:6(597</w:t>
        </w:r>
      </w:hyperlink>
      <w:r w:rsidRPr="008918E5">
        <w:t>).</w:t>
      </w:r>
    </w:p>
    <w:p w14:paraId="18C508EF" w14:textId="7629C4E5" w:rsidR="008918E5" w:rsidRPr="008918E5" w:rsidRDefault="008918E5" w:rsidP="008918E5">
      <w:pPr>
        <w:pStyle w:val="EndNoteBibliography"/>
      </w:pPr>
      <w:r w:rsidRPr="008918E5">
        <w:t>13.</w:t>
      </w:r>
      <w:r w:rsidRPr="008918E5">
        <w:tab/>
        <w:t xml:space="preserve">Sigdel, A.; Jha, R.; Bhatta, D.; Abou-Shanab, R. A.; Sapireddy, V. R.; Jeon, B.-H., Applicability of TOPMODEL in the catchments of Nepal: Bagmati River Basin. </w:t>
      </w:r>
      <w:r w:rsidRPr="008918E5">
        <w:rPr>
          <w:i/>
        </w:rPr>
        <w:t xml:space="preserve">Geosyst. Eng. </w:t>
      </w:r>
      <w:r w:rsidRPr="008918E5">
        <w:rPr>
          <w:b/>
        </w:rPr>
        <w:t>2011,</w:t>
      </w:r>
      <w:r w:rsidRPr="008918E5">
        <w:t xml:space="preserve"> </w:t>
      </w:r>
      <w:r w:rsidRPr="008918E5">
        <w:rPr>
          <w:i/>
        </w:rPr>
        <w:t>14</w:t>
      </w:r>
      <w:r w:rsidRPr="008918E5">
        <w:t xml:space="preserve"> (4), 181-190, </w:t>
      </w:r>
      <w:hyperlink r:id="rId25" w:history="1">
        <w:r w:rsidRPr="008918E5">
          <w:rPr>
            <w:rStyle w:val="Hyperlink"/>
          </w:rPr>
          <w:t>https://doi.org/10.1080/12269328.2011.10541349</w:t>
        </w:r>
      </w:hyperlink>
      <w:r w:rsidRPr="008918E5">
        <w:t>.</w:t>
      </w:r>
    </w:p>
    <w:p w14:paraId="34C45103" w14:textId="35299EFC" w:rsidR="009C6A68" w:rsidRDefault="003A193F" w:rsidP="008918E5">
      <w:pPr>
        <w:widowControl w:val="0"/>
        <w:spacing w:line="240" w:lineRule="auto"/>
        <w:ind w:left="360" w:hanging="317"/>
        <w:jc w:val="both"/>
        <w:rPr>
          <w:rFonts w:ascii="Garamond" w:hAnsi="Garamond"/>
          <w:sz w:val="24"/>
          <w:szCs w:val="24"/>
        </w:rPr>
      </w:pPr>
      <w:r w:rsidRPr="008918E5">
        <w:rPr>
          <w:rFonts w:ascii="Garamond" w:hAnsi="Garamond"/>
          <w:sz w:val="24"/>
          <w:szCs w:val="24"/>
        </w:rPr>
        <w:fldChar w:fldCharType="end"/>
      </w:r>
    </w:p>
    <w:p w14:paraId="54899CDF" w14:textId="3E540AA0" w:rsidR="008918E5" w:rsidRDefault="008918E5" w:rsidP="008918E5">
      <w:pPr>
        <w:widowControl w:val="0"/>
        <w:spacing w:line="240" w:lineRule="auto"/>
        <w:ind w:left="360" w:hanging="317"/>
        <w:jc w:val="both"/>
        <w:rPr>
          <w:rFonts w:ascii="Garamond" w:hAnsi="Garamond"/>
          <w:sz w:val="24"/>
          <w:szCs w:val="24"/>
        </w:rPr>
      </w:pPr>
    </w:p>
    <w:p w14:paraId="350ED655" w14:textId="77777777" w:rsidR="008918E5" w:rsidRPr="008918E5" w:rsidRDefault="008918E5" w:rsidP="008918E5">
      <w:pPr>
        <w:widowControl w:val="0"/>
        <w:spacing w:line="240" w:lineRule="auto"/>
        <w:jc w:val="both"/>
        <w:rPr>
          <w:rFonts w:ascii="Garamond" w:hAnsi="Garamond"/>
          <w:sz w:val="24"/>
          <w:szCs w:val="24"/>
        </w:rPr>
      </w:pPr>
    </w:p>
    <w:sectPr w:rsidR="008918E5" w:rsidRPr="008918E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ed L. Ogden" w:date="2019-08-14T12:19:00Z" w:initials="FLO">
    <w:p w14:paraId="6C7A2BC1" w14:textId="77777777" w:rsidR="009C6A68" w:rsidRDefault="00610F2D">
      <w:r>
        <w:rPr>
          <w:sz w:val="20"/>
        </w:rPr>
        <w:t>Among other things....</w:t>
      </w:r>
    </w:p>
  </w:comment>
  <w:comment w:id="3" w:author="Fred L. Ogden" w:date="2019-08-14T12:19:00Z" w:initials="FLO">
    <w:p w14:paraId="25ED86D2" w14:textId="77777777" w:rsidR="009C6A68" w:rsidRDefault="00610F2D">
      <w:r>
        <w:rPr>
          <w:sz w:val="20"/>
        </w:rPr>
        <w:t>What kind of efficiency?</w:t>
      </w:r>
    </w:p>
  </w:comment>
  <w:comment w:id="4"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610F2D" w:rsidRDefault="00610F2D">
      <w:pPr>
        <w:pStyle w:val="CommentText"/>
      </w:pPr>
      <w:r>
        <w:t>Should have something though</w:t>
      </w:r>
    </w:p>
  </w:comment>
  <w:comment w:id="5" w:author="Fred L. Ogden" w:date="2019-08-14T12:21:00Z" w:initials="FLO">
    <w:p w14:paraId="2B22CAE7" w14:textId="77777777" w:rsidR="009C6A68" w:rsidRDefault="00610F2D">
      <w:r>
        <w:rPr>
          <w:sz w:val="20"/>
        </w:rPr>
        <w:t>The developer would argue with you on this point.   Be careful/gentle.</w:t>
      </w:r>
    </w:p>
  </w:comment>
  <w:comment w:id="6" w:author="Fred L. Ogden" w:date="2019-08-14T12:41:00Z" w:initials="FLO">
    <w:p w14:paraId="70CED9E7" w14:textId="77777777" w:rsidR="009C6A68" w:rsidRDefault="00610F2D">
      <w:r>
        <w:rPr>
          <w:sz w:val="20"/>
        </w:rPr>
        <w:t>You should mention here that because the NWM includes calculations of interception, ET, snow melt, etc, the full functionality of the R version of TOPMODEL is not needed.</w:t>
      </w:r>
    </w:p>
  </w:comment>
  <w:comment w:id="7" w:author="Fred L. Ogden" w:date="2019-08-14T12:43:00Z" w:initials="FLO">
    <w:p w14:paraId="4A8A78E4" w14:textId="750B202B" w:rsidR="009C6A68" w:rsidRDefault="00610F2D">
      <w:r>
        <w:rPr>
          <w:sz w:val="20"/>
        </w:rPr>
        <w:t>don’t you need to cite the developer here?  (Bataert et al. ??)</w:t>
      </w:r>
    </w:p>
  </w:comment>
  <w:comment w:id="8" w:author="Fred L. Ogden" w:date="2019-08-14T12:25:00Z" w:initials="FLO">
    <w:p w14:paraId="787FF39B" w14:textId="77777777" w:rsidR="00A75C53" w:rsidRDefault="00A75C53" w:rsidP="00A75C53">
      <w:r>
        <w:rPr>
          <w:sz w:val="20"/>
        </w:rPr>
        <w:t>Add this.</w:t>
      </w:r>
    </w:p>
  </w:comment>
  <w:comment w:id="9" w:author="Fred L. Ogden" w:date="2019-08-14T14:39:00Z" w:initials="FLO">
    <w:p w14:paraId="4B09332D" w14:textId="77777777" w:rsidR="009C6A68" w:rsidRDefault="00610F2D">
      <w:r>
        <w:rPr>
          <w:sz w:val="20"/>
        </w:rPr>
        <w:t>Surprising that there isn’t a figure of some kind to illustrate the formulation of the “alternative” model.</w:t>
      </w:r>
    </w:p>
  </w:comment>
  <w:comment w:id="10" w:author="Federico Antolini" w:date="2019-08-19T07:34:00Z" w:initials="FA">
    <w:p w14:paraId="1784C622" w14:textId="0BA4BA37" w:rsidR="00F22665" w:rsidRDefault="00F22665">
      <w:pPr>
        <w:pStyle w:val="CommentText"/>
      </w:pPr>
      <w:r>
        <w:rPr>
          <w:rStyle w:val="CommentReference"/>
        </w:rPr>
        <w:annotationRef/>
      </w:r>
      <w:r>
        <w:t>Good point. Added later, in the appropriate section.</w:t>
      </w:r>
      <w:bookmarkStart w:id="11" w:name="_GoBack"/>
      <w:bookmarkEnd w:id="11"/>
    </w:p>
  </w:comment>
  <w:comment w:id="14" w:author="Fred L. Ogden" w:date="2019-08-14T14:05:00Z" w:initials="FLO">
    <w:p w14:paraId="49978834" w14:textId="77777777" w:rsidR="009C6A68" w:rsidRDefault="00610F2D">
      <w:r>
        <w:rPr>
          <w:sz w:val="20"/>
        </w:rPr>
        <w:t>Why mention m d^-1 ?    An awkward unit seldom used.</w:t>
      </w:r>
    </w:p>
  </w:comment>
  <w:comment w:id="15" w:author="Fred L. Ogden" w:date="2019-08-14T14:07:00Z" w:initials="FLO">
    <w:p w14:paraId="5550FD71" w14:textId="77777777" w:rsidR="009C6A68" w:rsidRDefault="00610F2D">
      <w:r>
        <w:rPr>
          <w:sz w:val="20"/>
        </w:rPr>
        <w:t>Reference.</w:t>
      </w:r>
    </w:p>
  </w:comment>
  <w:comment w:id="16" w:author="Fred L. Ogden" w:date="2019-08-14T14:14:00Z" w:initials="FLO">
    <w:p w14:paraId="1F17CDFE" w14:textId="77777777" w:rsidR="009C6A68" w:rsidRDefault="00610F2D">
      <w:r>
        <w:rPr>
          <w:sz w:val="20"/>
        </w:rPr>
        <w:t>ditto</w:t>
      </w:r>
    </w:p>
  </w:comment>
  <w:comment w:id="17" w:author="Fred L. Ogden" w:date="2019-08-14T14:14:00Z" w:initials="FLO">
    <w:p w14:paraId="6F463900" w14:textId="77777777" w:rsidR="009C6A68" w:rsidRDefault="00610F2D">
      <w:r>
        <w:rPr>
          <w:sz w:val="20"/>
        </w:rPr>
        <w:t>All math symbols should use consistent font, and be italicized, exept for mathematical operators.   Subscripts shall be subscripted, super... &amp;c.</w:t>
      </w:r>
    </w:p>
  </w:comment>
  <w:comment w:id="18" w:author="Fred L. Ogden" w:date="2019-08-14T14:15:00Z" w:initials="FLO">
    <w:p w14:paraId="7405A9E3" w14:textId="77777777" w:rsidR="009C6A68" w:rsidRDefault="00610F2D">
      <w:r>
        <w:rPr>
          <w:sz w:val="20"/>
        </w:rPr>
        <w:t>Model</w:t>
      </w:r>
    </w:p>
  </w:comment>
  <w:comment w:id="19" w:author="Fred L. Ogden" w:date="2019-08-14T14:16:00Z" w:initials="FLO">
    <w:p w14:paraId="4F5AC149" w14:textId="77777777" w:rsidR="009C6A68" w:rsidRDefault="00610F2D">
      <w:r>
        <w:rPr>
          <w:sz w:val="20"/>
        </w:rPr>
        <w:t>What about exponential decay of transimissivity, and the steady-state assumption?   Review the 3 TOMODEL assumptions.</w:t>
      </w:r>
    </w:p>
  </w:comment>
  <w:comment w:id="20" w:author="Fred L. Ogden" w:date="2019-08-14T14:17:00Z" w:initials="FLO">
    <w:p w14:paraId="67B5F6DE" w14:textId="77777777" w:rsidR="009C6A68" w:rsidRDefault="00610F2D">
      <w:r>
        <w:rPr>
          <w:sz w:val="20"/>
        </w:rPr>
        <w:t>This is not a figure.   It is an inset at best- don’t call it a figure.   You can put it in a box like shown, and call it out as an example (e.g. Example 1. Alternative Model Formulation Psuedocode.)</w:t>
      </w:r>
    </w:p>
  </w:comment>
  <w:comment w:id="21" w:author="Federico Antolini" w:date="2019-08-17T18:34:00Z" w:initials="FA">
    <w:p w14:paraId="7D104F0E" w14:textId="77777777" w:rsidR="00AE0BB6" w:rsidRDefault="00AE0BB6">
      <w:pPr>
        <w:pStyle w:val="CommentText"/>
      </w:pPr>
      <w:r>
        <w:rPr>
          <w:rStyle w:val="CommentReference"/>
        </w:rPr>
        <w:annotationRef/>
      </w:r>
      <w:r>
        <w:t>Journals in field of computation common</w:t>
      </w:r>
      <w:r w:rsidR="00265DFE">
        <w:t>ly</w:t>
      </w:r>
      <w:r>
        <w:t xml:space="preserve"> refer to these as </w:t>
      </w:r>
      <w:r w:rsidR="00265DFE">
        <w:t>F</w:t>
      </w:r>
      <w:r>
        <w:t>igures</w:t>
      </w:r>
      <w:r w:rsidR="00265DFE">
        <w:t>. Others use the word Algorithms (</w:t>
      </w:r>
      <w:hyperlink r:id="rId2" w:history="1">
        <w:r w:rsidR="00265DFE">
          <w:rPr>
            <w:rStyle w:val="Hyperlink"/>
          </w:rPr>
          <w:t>https://www.sciencedirect.com/science/article/pii/S0309170818307322</w:t>
        </w:r>
      </w:hyperlink>
      <w:r w:rsidR="00265DFE">
        <w:t>).</w:t>
      </w:r>
    </w:p>
    <w:p w14:paraId="33BB1CDB" w14:textId="0BBCF05D" w:rsidR="00887A0F" w:rsidRDefault="00887A0F">
      <w:pPr>
        <w:pStyle w:val="CommentText"/>
      </w:pPr>
      <w:r>
        <w:t>We will go with Algorithm to make it clear.</w:t>
      </w:r>
    </w:p>
  </w:comment>
  <w:comment w:id="23"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25" w:author="Fred L. Ogden" w:date="2019-08-14T14:19:00Z" w:initials="FLO">
    <w:p w14:paraId="39B60F3E" w14:textId="77777777" w:rsidR="00261DD8" w:rsidRDefault="00261DD8" w:rsidP="00261DD8">
      <w:r>
        <w:rPr>
          <w:sz w:val="20"/>
        </w:rPr>
        <w:t>Also not a figure.  Box.</w:t>
      </w:r>
    </w:p>
  </w:comment>
  <w:comment w:id="26" w:author="Federico Antolini" w:date="2019-08-17T18:18:00Z" w:initials="FA">
    <w:p w14:paraId="1D2790BE" w14:textId="4BD8D991" w:rsidR="00261DD8" w:rsidRDefault="00261DD8">
      <w:pPr>
        <w:pStyle w:val="CommentText"/>
      </w:pPr>
      <w:r>
        <w:rPr>
          <w:rStyle w:val="CommentReference"/>
        </w:rPr>
        <w:annotationRef/>
      </w:r>
      <w:r>
        <w:t>Ditto</w:t>
      </w:r>
    </w:p>
  </w:comment>
  <w:comment w:id="27" w:author="Fred L. Ogden" w:date="2019-08-14T14:19:00Z" w:initials="FLO">
    <w:p w14:paraId="25037A5F" w14:textId="77777777" w:rsidR="009C6A68" w:rsidRDefault="00610F2D">
      <w:r>
        <w:rPr>
          <w:sz w:val="20"/>
        </w:rPr>
        <w:t>, for subcatchment #7.</w:t>
      </w:r>
    </w:p>
  </w:comment>
  <w:comment w:id="28" w:author="Fred L. Ogden" w:date="2019-08-14T14:20:00Z" w:initials="FLO">
    <w:p w14:paraId="117A5A31" w14:textId="77777777" w:rsidR="009C6A68" w:rsidRDefault="00610F2D">
      <w:r>
        <w:rPr>
          <w:sz w:val="20"/>
          <w:lang w:val="en-US"/>
        </w:rPr>
        <w:t>Need legend, should specify subcatchment No. 7, or are these two figures actually together?</w:t>
      </w:r>
    </w:p>
  </w:comment>
  <w:comment w:id="30"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together?</w:t>
      </w:r>
    </w:p>
  </w:comment>
  <w:comment w:id="31"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32" w:author="Fred L. Ogden" w:date="2019-08-14T14:23:00Z" w:initials="FLO">
    <w:p w14:paraId="66007BD7" w14:textId="77777777" w:rsidR="009C6A68" w:rsidRDefault="00610F2D">
      <w:r>
        <w:rPr>
          <w:sz w:val="20"/>
        </w:rPr>
        <w:t>Don’t you mean “outflow rate per unit area” or “runoff rate”?</w:t>
      </w:r>
    </w:p>
  </w:comment>
  <w:comment w:id="33" w:author="Fred L. Ogden" w:date="2019-08-14T14:25:00Z" w:initials="FLO">
    <w:p w14:paraId="3B9BD853" w14:textId="77777777" w:rsidR="009C6A68" w:rsidRDefault="00610F2D">
      <w:r>
        <w:rPr>
          <w:sz w:val="20"/>
        </w:rPr>
        <w:t>Motivation for this study arises from the need for...</w:t>
      </w:r>
    </w:p>
  </w:comment>
  <w:comment w:id="34" w:author="Fred L. Ogden" w:date="2019-08-14T14:26:00Z" w:initials="FLO">
    <w:p w14:paraId="64C6AD3C" w14:textId="77777777" w:rsidR="009C6A68" w:rsidRDefault="00610F2D">
      <w:r>
        <w:rPr>
          <w:sz w:val="20"/>
        </w:rPr>
        <w:t>With shallow, highly permeable soils</w:t>
      </w:r>
    </w:p>
  </w:comment>
  <w:comment w:id="35"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36" w:author="Fred L. Ogden" w:date="2019-08-14T14:27:00Z" w:initials="FLO">
    <w:p w14:paraId="136CCF98" w14:textId="77777777" w:rsidR="009C6A68" w:rsidRDefault="00610F2D">
      <w:r>
        <w:rPr>
          <w:sz w:val="20"/>
        </w:rPr>
        <w:t xml:space="preserve">That was never the objective.  The objective was to explore </w:t>
      </w:r>
      <w:r w:rsidR="00A5566E">
        <w:rPr>
          <w:sz w:val="20"/>
        </w:rPr>
        <w:t>possibilities</w:t>
      </w:r>
      <w:r>
        <w:rPr>
          <w:sz w:val="20"/>
        </w:rPr>
        <w:t>.</w:t>
      </w:r>
    </w:p>
  </w:comment>
  <w:comment w:id="37"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38" w:author="Fred L. Ogden" w:date="2019-08-14T14:24:00Z" w:initials="FLO">
    <w:p w14:paraId="045C6F45" w14:textId="77777777" w:rsidR="009C6A68" w:rsidRDefault="00610F2D">
      <w:r>
        <w:rPr>
          <w:sz w:val="20"/>
        </w:rPr>
        <w:t>Update to include the actual 2019SI github site.</w:t>
      </w:r>
    </w:p>
  </w:comment>
  <w:comment w:id="39"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ie.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NWCSI_Report_Template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1"/>
  <w15:commentEx w15:paraId="25ED86D2" w15:done="1"/>
  <w15:commentEx w15:paraId="0BA4241A" w15:done="0"/>
  <w15:commentEx w15:paraId="2B22CAE7" w15:done="0"/>
  <w15:commentEx w15:paraId="70CED9E7" w15:done="1"/>
  <w15:commentEx w15:paraId="4A8A78E4" w15:done="0"/>
  <w15:commentEx w15:paraId="787FF39B" w15:done="0"/>
  <w15:commentEx w15:paraId="4B09332D" w15:done="0"/>
  <w15:commentEx w15:paraId="1784C622" w15:paraIdParent="4B09332D" w15:done="0"/>
  <w15:commentEx w15:paraId="49978834" w15:done="1"/>
  <w15:commentEx w15:paraId="5550FD71" w15:done="0"/>
  <w15:commentEx w15:paraId="1F17CDFE" w15:done="0"/>
  <w15:commentEx w15:paraId="6F463900" w15:done="0"/>
  <w15:commentEx w15:paraId="7405A9E3" w15:done="1"/>
  <w15:commentEx w15:paraId="4F5AC149" w15:done="0"/>
  <w15:commentEx w15:paraId="67B5F6DE" w15:done="0"/>
  <w15:commentEx w15:paraId="33BB1CDB" w15:paraIdParent="67B5F6DE" w15:done="0"/>
  <w15:commentEx w15:paraId="4ACC8B53" w15:done="0"/>
  <w15:commentEx w15:paraId="39B60F3E" w15:done="0"/>
  <w15:commentEx w15:paraId="1D2790BE" w15:paraIdParent="39B60F3E" w15:done="0"/>
  <w15:commentEx w15:paraId="25037A5F" w15:done="1"/>
  <w15:commentEx w15:paraId="117A5A31" w15:done="1"/>
  <w15:commentEx w15:paraId="1DE2CED0" w15:done="1"/>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045C6F45" w15:done="0"/>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2B22CAE7" w16cid:durableId="20FEAE40"/>
  <w16cid:commentId w16cid:paraId="70CED9E7" w16cid:durableId="20FEAE41"/>
  <w16cid:commentId w16cid:paraId="4A8A78E4" w16cid:durableId="20FEAE42"/>
  <w16cid:commentId w16cid:paraId="787FF39B" w16cid:durableId="20FEAE43"/>
  <w16cid:commentId w16cid:paraId="4B09332D" w16cid:durableId="20FEAE48"/>
  <w16cid:commentId w16cid:paraId="1784C622" w16cid:durableId="2104CF9E"/>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67B5F6DE" w16cid:durableId="20FEAE53"/>
  <w16cid:commentId w16cid:paraId="33BB1CDB" w16cid:durableId="2102C73A"/>
  <w16cid:commentId w16cid:paraId="4ACC8B53" w16cid:durableId="20FEAE54"/>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8C0B56F" w16cid:durableId="2102FB81"/>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rson w15:author="Federico Antolini">
    <w15:presenceInfo w15:providerId="Windows Live" w15:userId="69986f325a91f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9C6A68"/>
    <w:rsid w:val="00005AD2"/>
    <w:rsid w:val="00095BA4"/>
    <w:rsid w:val="000A6D84"/>
    <w:rsid w:val="000E29C0"/>
    <w:rsid w:val="00115229"/>
    <w:rsid w:val="00123135"/>
    <w:rsid w:val="001E2863"/>
    <w:rsid w:val="00261DD8"/>
    <w:rsid w:val="00265DFE"/>
    <w:rsid w:val="002E33A9"/>
    <w:rsid w:val="0033754C"/>
    <w:rsid w:val="003A193F"/>
    <w:rsid w:val="003E6C60"/>
    <w:rsid w:val="0040341D"/>
    <w:rsid w:val="005051DE"/>
    <w:rsid w:val="00507536"/>
    <w:rsid w:val="0052215A"/>
    <w:rsid w:val="005D1DE8"/>
    <w:rsid w:val="00610F2D"/>
    <w:rsid w:val="0063476E"/>
    <w:rsid w:val="006E0ACB"/>
    <w:rsid w:val="006F1B73"/>
    <w:rsid w:val="00700F1A"/>
    <w:rsid w:val="00887A0F"/>
    <w:rsid w:val="008918E5"/>
    <w:rsid w:val="008D384A"/>
    <w:rsid w:val="008D5335"/>
    <w:rsid w:val="0092149F"/>
    <w:rsid w:val="009A39F1"/>
    <w:rsid w:val="009B4E4E"/>
    <w:rsid w:val="009C6A68"/>
    <w:rsid w:val="009F1763"/>
    <w:rsid w:val="00A328A5"/>
    <w:rsid w:val="00A5566E"/>
    <w:rsid w:val="00A64467"/>
    <w:rsid w:val="00A75C53"/>
    <w:rsid w:val="00AE0BB6"/>
    <w:rsid w:val="00B70052"/>
    <w:rsid w:val="00B73308"/>
    <w:rsid w:val="00B73A15"/>
    <w:rsid w:val="00C17021"/>
    <w:rsid w:val="00C349E3"/>
    <w:rsid w:val="00CE36B7"/>
    <w:rsid w:val="00E033C7"/>
    <w:rsid w:val="00E35590"/>
    <w:rsid w:val="00E91FB0"/>
    <w:rsid w:val="00ED7DE8"/>
    <w:rsid w:val="00F22665"/>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topmod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7/s00027-014-0358-3"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doi.org/10.4090/juee.2011.v5n1.001014" TargetMode="External"/><Relationship Id="rId25" Type="http://schemas.openxmlformats.org/officeDocument/2006/relationships/hyperlink" Target="https://doi.org/10.1080/12269328.2011.10541349" TargetMode="External"/><Relationship Id="rId2" Type="http://schemas.openxmlformats.org/officeDocument/2006/relationships/styles" Target="styles.xml"/><Relationship Id="rId16" Type="http://schemas.openxmlformats.org/officeDocument/2006/relationships/hyperlink" Target="https://github.com/brittbarreto/Aquaholics_Anonymous" TargetMode="External"/><Relationship Id="rId20" Type="http://schemas.openxmlformats.org/officeDocument/2006/relationships/hyperlink" Target="https://doi.org/10.1175/1525-7541(2003)00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061/(ASCE)1084-0699(2006)11:6(597"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1002/hyp.25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29/2005JD0061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133/fs16699"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4770-58F0-421A-BE64-F4976C8F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14</Pages>
  <Words>6597</Words>
  <Characters>37609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13</cp:revision>
  <cp:lastPrinted>2019-07-23T18:35:00Z</cp:lastPrinted>
  <dcterms:created xsi:type="dcterms:W3CDTF">2019-08-16T22:23:00Z</dcterms:created>
  <dcterms:modified xsi:type="dcterms:W3CDTF">2019-08-19T05:37:00Z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