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620F9" w14:textId="722F25FB" w:rsidR="001D49E5" w:rsidRPr="00506BB6" w:rsidRDefault="00155789" w:rsidP="001347BB">
      <w:pPr>
        <w:spacing w:line="240" w:lineRule="auto"/>
        <w:contextualSpacing/>
        <w:jc w:val="center"/>
        <w:rPr>
          <w:rFonts w:ascii="Times New Roman" w:hAnsi="Times New Roman"/>
          <w:sz w:val="28"/>
        </w:rPr>
      </w:pPr>
      <w:bookmarkStart w:id="0" w:name="_GoBack"/>
      <w:bookmarkEnd w:id="0"/>
      <w:r w:rsidRPr="00506BB6">
        <w:rPr>
          <w:rFonts w:ascii="Times New Roman" w:hAnsi="Times New Roman"/>
          <w:sz w:val="28"/>
        </w:rPr>
        <w:t xml:space="preserve">Metadata </w:t>
      </w:r>
      <w:r w:rsidR="00BA7CBF" w:rsidRPr="00506BB6">
        <w:rPr>
          <w:rFonts w:ascii="Times New Roman" w:hAnsi="Times New Roman"/>
          <w:sz w:val="28"/>
        </w:rPr>
        <w:t>template</w:t>
      </w:r>
      <w:r w:rsidR="008D563A" w:rsidRPr="00506BB6">
        <w:rPr>
          <w:rStyle w:val="FootnoteReference"/>
          <w:rFonts w:ascii="Times New Roman" w:hAnsi="Times New Roman"/>
          <w:sz w:val="28"/>
        </w:rPr>
        <w:footnoteReference w:id="1"/>
      </w:r>
      <w:r w:rsidR="00BA7CBF" w:rsidRPr="00506BB6">
        <w:rPr>
          <w:rFonts w:ascii="Times New Roman" w:hAnsi="Times New Roman"/>
          <w:sz w:val="28"/>
        </w:rPr>
        <w:t xml:space="preserve"> </w:t>
      </w:r>
      <w:r w:rsidRPr="00506BB6">
        <w:rPr>
          <w:rFonts w:ascii="Times New Roman" w:hAnsi="Times New Roman"/>
          <w:sz w:val="28"/>
        </w:rPr>
        <w:t xml:space="preserve">for </w:t>
      </w:r>
      <w:r w:rsidR="00BA7CBF" w:rsidRPr="00506BB6">
        <w:rPr>
          <w:rFonts w:ascii="Times New Roman" w:hAnsi="Times New Roman"/>
          <w:sz w:val="28"/>
        </w:rPr>
        <w:t xml:space="preserve">datasets of </w:t>
      </w:r>
      <w:r w:rsidRPr="00506BB6">
        <w:rPr>
          <w:rFonts w:ascii="Times New Roman" w:hAnsi="Times New Roman"/>
          <w:i/>
          <w:sz w:val="28"/>
        </w:rPr>
        <w:t>L</w:t>
      </w:r>
      <w:r w:rsidR="008A5C3C" w:rsidRPr="00506BB6">
        <w:rPr>
          <w:rFonts w:ascii="Times New Roman" w:hAnsi="Times New Roman"/>
          <w:i/>
          <w:sz w:val="28"/>
        </w:rPr>
        <w:t>&amp;</w:t>
      </w:r>
      <w:r w:rsidRPr="00506BB6">
        <w:rPr>
          <w:rFonts w:ascii="Times New Roman" w:hAnsi="Times New Roman"/>
          <w:i/>
          <w:sz w:val="28"/>
        </w:rPr>
        <w:t>O-Letters</w:t>
      </w:r>
      <w:r w:rsidRPr="00506BB6">
        <w:rPr>
          <w:rFonts w:ascii="Times New Roman" w:hAnsi="Times New Roman"/>
          <w:sz w:val="28"/>
        </w:rPr>
        <w:t xml:space="preserve"> </w:t>
      </w:r>
      <w:r w:rsidR="00BA7CBF" w:rsidRPr="00506BB6">
        <w:rPr>
          <w:rFonts w:ascii="Times New Roman" w:hAnsi="Times New Roman"/>
          <w:sz w:val="28"/>
        </w:rPr>
        <w:t>articles</w:t>
      </w:r>
    </w:p>
    <w:p w14:paraId="5AD6FA17" w14:textId="77777777" w:rsidR="008A5C3C" w:rsidRPr="00FC53DF" w:rsidRDefault="008A5C3C" w:rsidP="008A5C3C">
      <w:pPr>
        <w:spacing w:after="0" w:line="240" w:lineRule="auto"/>
        <w:rPr>
          <w:rFonts w:ascii="Times New Roman" w:hAnsi="Times New Roman"/>
          <w:b/>
          <w:sz w:val="16"/>
        </w:rPr>
      </w:pPr>
    </w:p>
    <w:p w14:paraId="04452850" w14:textId="77777777" w:rsidR="00E030C6" w:rsidRPr="00506BB6" w:rsidRDefault="00E030C6" w:rsidP="00506BB6">
      <w:pPr>
        <w:spacing w:line="240" w:lineRule="auto"/>
        <w:jc w:val="center"/>
        <w:rPr>
          <w:rFonts w:ascii="Times New Roman" w:hAnsi="Times New Roman"/>
          <w:color w:val="4F81BD" w:themeColor="accent1"/>
          <w:sz w:val="24"/>
        </w:rPr>
      </w:pPr>
      <w:r w:rsidRPr="00506BB6">
        <w:rPr>
          <w:rFonts w:ascii="Times New Roman" w:hAnsi="Times New Roman"/>
          <w:b/>
          <w:color w:val="4F81BD" w:themeColor="accent1"/>
          <w:sz w:val="24"/>
        </w:rPr>
        <w:t>Table 1.</w:t>
      </w:r>
      <w:r w:rsidRPr="00506BB6">
        <w:rPr>
          <w:rFonts w:ascii="Times New Roman" w:hAnsi="Times New Roman"/>
          <w:color w:val="4F81BD" w:themeColor="accent1"/>
          <w:sz w:val="24"/>
        </w:rPr>
        <w:t xml:space="preserve"> Description of the fields needed to describe the creation of your dataset.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9"/>
        <w:gridCol w:w="6717"/>
      </w:tblGrid>
      <w:tr w:rsidR="00BC5644" w:rsidRPr="0017567B" w14:paraId="63922DF3" w14:textId="77777777" w:rsidTr="00506BB6">
        <w:tc>
          <w:tcPr>
            <w:tcW w:w="1493" w:type="pct"/>
          </w:tcPr>
          <w:p w14:paraId="6C284460" w14:textId="77777777" w:rsidR="00BC5644" w:rsidRPr="00F36DA2" w:rsidRDefault="00BC5644" w:rsidP="00BE3E9D">
            <w:pPr>
              <w:pStyle w:val="NormalWeb"/>
              <w:contextualSpacing/>
              <w:rPr>
                <w:rFonts w:asciiTheme="minorHAnsi" w:hAnsiTheme="minorHAnsi"/>
                <w:b/>
                <w:sz w:val="22"/>
                <w:szCs w:val="20"/>
              </w:rPr>
            </w:pPr>
            <w:r w:rsidRPr="00F36DA2">
              <w:rPr>
                <w:rFonts w:asciiTheme="minorHAnsi" w:hAnsiTheme="minorHAnsi"/>
                <w:b/>
                <w:sz w:val="22"/>
                <w:szCs w:val="20"/>
              </w:rPr>
              <w:t>Title</w:t>
            </w:r>
            <w:r w:rsidR="002C2CAD" w:rsidRPr="00F36DA2">
              <w:rPr>
                <w:rFonts w:asciiTheme="minorHAnsi" w:hAnsiTheme="minorHAnsi"/>
                <w:b/>
                <w:sz w:val="22"/>
                <w:szCs w:val="20"/>
              </w:rPr>
              <w:t xml:space="preserve"> of dataset</w:t>
            </w:r>
          </w:p>
        </w:tc>
        <w:tc>
          <w:tcPr>
            <w:tcW w:w="3507" w:type="pct"/>
          </w:tcPr>
          <w:p w14:paraId="5FD4035F" w14:textId="745242B2" w:rsidR="00BC5644" w:rsidRPr="003F5326" w:rsidRDefault="00FB31EB" w:rsidP="00250C1A">
            <w:pPr>
              <w:spacing w:line="240" w:lineRule="auto"/>
              <w:contextualSpacing/>
              <w:rPr>
                <w:rFonts w:asciiTheme="minorHAnsi" w:hAnsiTheme="minorHAnsi"/>
                <w:sz w:val="20"/>
                <w:szCs w:val="20"/>
              </w:rPr>
            </w:pPr>
            <w:r w:rsidRPr="003F5326">
              <w:rPr>
                <w:rFonts w:asciiTheme="minorHAnsi" w:hAnsiTheme="minorHAnsi"/>
                <w:sz w:val="20"/>
                <w:szCs w:val="20"/>
              </w:rPr>
              <w:t xml:space="preserve">Sediment microbial community composition and environmental data for 14 lakes at the University of Notre Dame Environmental Research Center </w:t>
            </w:r>
          </w:p>
        </w:tc>
      </w:tr>
      <w:tr w:rsidR="003E320E" w:rsidRPr="0017567B" w14:paraId="2F06F00E" w14:textId="77777777" w:rsidTr="00506BB6">
        <w:trPr>
          <w:trHeight w:val="692"/>
        </w:trPr>
        <w:tc>
          <w:tcPr>
            <w:tcW w:w="1493" w:type="pct"/>
          </w:tcPr>
          <w:p w14:paraId="79F9A654" w14:textId="77777777" w:rsidR="003E320E" w:rsidRPr="00F36DA2" w:rsidRDefault="003E320E" w:rsidP="00BE3E9D">
            <w:pPr>
              <w:pStyle w:val="NormalWeb"/>
              <w:contextualSpacing/>
              <w:rPr>
                <w:rFonts w:asciiTheme="minorHAnsi" w:hAnsiTheme="minorHAnsi"/>
                <w:b/>
                <w:sz w:val="22"/>
                <w:szCs w:val="20"/>
              </w:rPr>
            </w:pPr>
            <w:r w:rsidRPr="00F36DA2">
              <w:rPr>
                <w:rFonts w:asciiTheme="minorHAnsi" w:hAnsiTheme="minorHAnsi"/>
                <w:b/>
                <w:sz w:val="22"/>
                <w:szCs w:val="20"/>
              </w:rPr>
              <w:t>URL of dataset</w:t>
            </w:r>
          </w:p>
        </w:tc>
        <w:tc>
          <w:tcPr>
            <w:tcW w:w="3507" w:type="pct"/>
          </w:tcPr>
          <w:p w14:paraId="796EE9A9" w14:textId="122BF461" w:rsidR="003E320E" w:rsidRPr="00F36DA2" w:rsidRDefault="00BB2A01" w:rsidP="00FB31EB">
            <w:pPr>
              <w:spacing w:after="0" w:line="240" w:lineRule="auto"/>
              <w:rPr>
                <w:rFonts w:asciiTheme="minorHAnsi" w:hAnsiTheme="minorHAnsi"/>
                <w:sz w:val="20"/>
                <w:szCs w:val="20"/>
              </w:rPr>
            </w:pPr>
            <w:hyperlink r:id="rId8" w:history="1">
              <w:r w:rsidR="00FB31EB" w:rsidRPr="00F36DA2">
                <w:rPr>
                  <w:rStyle w:val="Hyperlink"/>
                  <w:rFonts w:asciiTheme="minorHAnsi" w:hAnsiTheme="minorHAnsi"/>
                  <w:sz w:val="20"/>
                  <w:szCs w:val="20"/>
                </w:rPr>
                <w:t>https://github.com/brittnibertolet/MicrobeRegCH4</w:t>
              </w:r>
            </w:hyperlink>
          </w:p>
        </w:tc>
      </w:tr>
      <w:tr w:rsidR="00647AF0" w:rsidRPr="0017567B" w14:paraId="3BED515D" w14:textId="77777777" w:rsidTr="00506BB6">
        <w:tc>
          <w:tcPr>
            <w:tcW w:w="1493" w:type="pct"/>
          </w:tcPr>
          <w:p w14:paraId="38342613" w14:textId="77777777" w:rsidR="00647AF0" w:rsidRPr="00F36DA2" w:rsidRDefault="00647AF0" w:rsidP="00BE3E9D">
            <w:pPr>
              <w:pStyle w:val="NormalWeb"/>
              <w:contextualSpacing/>
              <w:rPr>
                <w:rFonts w:asciiTheme="minorHAnsi" w:hAnsiTheme="minorHAnsi"/>
                <w:b/>
                <w:sz w:val="22"/>
                <w:szCs w:val="20"/>
              </w:rPr>
            </w:pPr>
            <w:r w:rsidRPr="00F36DA2">
              <w:rPr>
                <w:rFonts w:asciiTheme="minorHAnsi" w:hAnsiTheme="minorHAnsi"/>
                <w:b/>
                <w:sz w:val="22"/>
                <w:szCs w:val="20"/>
              </w:rPr>
              <w:t>Abstract</w:t>
            </w:r>
          </w:p>
        </w:tc>
        <w:tc>
          <w:tcPr>
            <w:tcW w:w="3507" w:type="pct"/>
          </w:tcPr>
          <w:p w14:paraId="43A56A57" w14:textId="72E8B208" w:rsidR="00241B0B" w:rsidRPr="00F36DA2" w:rsidRDefault="00FB31EB" w:rsidP="00FB31EB">
            <w:pPr>
              <w:rPr>
                <w:rFonts w:asciiTheme="minorHAnsi" w:hAnsiTheme="minorHAnsi"/>
                <w:color w:val="000000"/>
                <w:sz w:val="20"/>
                <w:szCs w:val="20"/>
              </w:rPr>
            </w:pPr>
            <w:r w:rsidRPr="00F36DA2">
              <w:rPr>
                <w:rFonts w:asciiTheme="minorHAnsi" w:hAnsiTheme="minorHAnsi"/>
                <w:color w:val="000000"/>
                <w:sz w:val="20"/>
                <w:szCs w:val="20"/>
              </w:rPr>
              <w:t>The</w:t>
            </w:r>
            <w:r w:rsidRPr="00F36DA2">
              <w:rPr>
                <w:rFonts w:asciiTheme="minorHAnsi" w:hAnsiTheme="minorHAnsi"/>
                <w:sz w:val="20"/>
                <w:szCs w:val="20"/>
              </w:rPr>
              <w:t xml:space="preserve"> objective of our study was to identify environmental conditions that structure lake sediment microbial communities and determine whether community composition explained inter-lake variation in potential methanogenesis rates. We performed a comparative analysis of microbial communities and methanogenesis rates in 14 freshwater lake sediments along gradients of pH and primary productivity. Variation in methanogen community composition and non-methanogen microbial community composition was best explained by pH and sediment organic matter content. However, these regulators of microbial community structure were not associated with differences in methanogenesis rates, highlighting a potential disconnect between microbial community composition and the functions they mediate. Instead, variation in potential lake methanogenesis rates was best explained by proxies for organic matter supplied to sediments (lake chlorophyll</w:t>
            </w:r>
            <w:r w:rsidRPr="00F36DA2">
              <w:rPr>
                <w:rFonts w:asciiTheme="minorHAnsi" w:hAnsiTheme="minorHAnsi"/>
                <w:i/>
                <w:sz w:val="20"/>
                <w:szCs w:val="20"/>
              </w:rPr>
              <w:t xml:space="preserve"> a</w:t>
            </w:r>
            <w:r w:rsidRPr="00F36DA2">
              <w:rPr>
                <w:rFonts w:asciiTheme="minorHAnsi" w:hAnsiTheme="minorHAnsi"/>
                <w:sz w:val="20"/>
                <w:szCs w:val="20"/>
              </w:rPr>
              <w:t xml:space="preserve"> concentration and sediment pore water total phosphorus) and the composition of the non-methanogen microbial community. Our results suggest a role for sediment bacterial community in influencing methanogenesis via the supply of growth substrates. </w:t>
            </w:r>
          </w:p>
        </w:tc>
      </w:tr>
      <w:tr w:rsidR="00647AF0" w:rsidRPr="0017567B" w14:paraId="7A23507B" w14:textId="77777777" w:rsidTr="00506BB6">
        <w:tc>
          <w:tcPr>
            <w:tcW w:w="1493" w:type="pct"/>
          </w:tcPr>
          <w:p w14:paraId="1A573ABF" w14:textId="77777777" w:rsidR="00647AF0" w:rsidRPr="00F36DA2" w:rsidRDefault="00647AF0" w:rsidP="00BE3E9D">
            <w:pPr>
              <w:pStyle w:val="NormalWeb"/>
              <w:contextualSpacing/>
              <w:rPr>
                <w:rFonts w:asciiTheme="minorHAnsi" w:hAnsiTheme="minorHAnsi"/>
                <w:b/>
                <w:sz w:val="22"/>
                <w:szCs w:val="20"/>
              </w:rPr>
            </w:pPr>
            <w:r w:rsidRPr="00F36DA2">
              <w:rPr>
                <w:rFonts w:asciiTheme="minorHAnsi" w:hAnsiTheme="minorHAnsi"/>
                <w:b/>
                <w:sz w:val="22"/>
                <w:szCs w:val="20"/>
              </w:rPr>
              <w:t>Keywords</w:t>
            </w:r>
          </w:p>
        </w:tc>
        <w:tc>
          <w:tcPr>
            <w:tcW w:w="3507" w:type="pct"/>
          </w:tcPr>
          <w:p w14:paraId="1F7582B0" w14:textId="40B14ADF" w:rsidR="00647AF0" w:rsidRPr="00F36DA2" w:rsidRDefault="00FB31EB" w:rsidP="00FB31EB">
            <w:pPr>
              <w:widowControl w:val="0"/>
              <w:autoSpaceDE w:val="0"/>
              <w:autoSpaceDN w:val="0"/>
              <w:adjustRightInd w:val="0"/>
              <w:spacing w:after="240"/>
              <w:contextualSpacing/>
              <w:rPr>
                <w:rFonts w:asciiTheme="minorHAnsi" w:hAnsiTheme="minorHAnsi"/>
                <w:sz w:val="20"/>
                <w:szCs w:val="20"/>
              </w:rPr>
            </w:pPr>
            <w:r w:rsidRPr="00F36DA2">
              <w:rPr>
                <w:rFonts w:asciiTheme="minorHAnsi" w:hAnsiTheme="minorHAnsi"/>
                <w:sz w:val="20"/>
                <w:szCs w:val="20"/>
              </w:rPr>
              <w:t>methane, microbial community composition, structure-function, lake sediments, carbon cycling</w:t>
            </w:r>
          </w:p>
        </w:tc>
      </w:tr>
      <w:tr w:rsidR="00647AF0" w:rsidRPr="0017567B" w14:paraId="1AF246DB" w14:textId="77777777" w:rsidTr="00506BB6">
        <w:tc>
          <w:tcPr>
            <w:tcW w:w="1493" w:type="pct"/>
          </w:tcPr>
          <w:p w14:paraId="37D387E1" w14:textId="77777777" w:rsidR="00647AF0" w:rsidRPr="00F36DA2" w:rsidRDefault="008D563A" w:rsidP="006224DE">
            <w:pPr>
              <w:pStyle w:val="NormalWeb"/>
              <w:contextualSpacing/>
              <w:rPr>
                <w:rFonts w:asciiTheme="minorHAnsi" w:hAnsiTheme="minorHAnsi"/>
                <w:b/>
                <w:sz w:val="22"/>
                <w:szCs w:val="20"/>
              </w:rPr>
            </w:pPr>
            <w:r w:rsidRPr="00F36DA2">
              <w:rPr>
                <w:rFonts w:asciiTheme="minorHAnsi" w:hAnsiTheme="minorHAnsi"/>
                <w:b/>
                <w:sz w:val="22"/>
                <w:szCs w:val="20"/>
              </w:rPr>
              <w:t>L</w:t>
            </w:r>
            <w:r w:rsidR="006224DE" w:rsidRPr="00F36DA2">
              <w:rPr>
                <w:rFonts w:asciiTheme="minorHAnsi" w:hAnsiTheme="minorHAnsi"/>
                <w:b/>
                <w:sz w:val="22"/>
                <w:szCs w:val="20"/>
              </w:rPr>
              <w:t xml:space="preserve">ead author </w:t>
            </w:r>
            <w:r w:rsidRPr="00F36DA2">
              <w:rPr>
                <w:rFonts w:asciiTheme="minorHAnsi" w:hAnsiTheme="minorHAnsi"/>
                <w:b/>
                <w:sz w:val="22"/>
                <w:szCs w:val="20"/>
              </w:rPr>
              <w:t xml:space="preserve">for the dataset </w:t>
            </w:r>
          </w:p>
        </w:tc>
        <w:tc>
          <w:tcPr>
            <w:tcW w:w="3507" w:type="pct"/>
          </w:tcPr>
          <w:p w14:paraId="49108CB1" w14:textId="0045B3B9" w:rsidR="00647AF0" w:rsidRPr="00F36DA2" w:rsidRDefault="00FB31EB" w:rsidP="00D60162">
            <w:pPr>
              <w:pStyle w:val="NormalWeb"/>
              <w:contextualSpacing/>
              <w:rPr>
                <w:rFonts w:asciiTheme="minorHAnsi" w:hAnsiTheme="minorHAnsi"/>
                <w:sz w:val="20"/>
                <w:szCs w:val="20"/>
              </w:rPr>
            </w:pPr>
            <w:r w:rsidRPr="00F36DA2">
              <w:rPr>
                <w:rFonts w:asciiTheme="minorHAnsi" w:hAnsiTheme="minorHAnsi"/>
                <w:sz w:val="20"/>
                <w:szCs w:val="20"/>
              </w:rPr>
              <w:t>Stuart E. Jones</w:t>
            </w:r>
          </w:p>
        </w:tc>
      </w:tr>
      <w:tr w:rsidR="00647AF0" w:rsidRPr="0017567B" w14:paraId="3531554D" w14:textId="77777777" w:rsidTr="00506BB6">
        <w:trPr>
          <w:trHeight w:val="332"/>
        </w:trPr>
        <w:tc>
          <w:tcPr>
            <w:tcW w:w="1493" w:type="pct"/>
          </w:tcPr>
          <w:p w14:paraId="5B951041" w14:textId="77777777" w:rsidR="00647AF0" w:rsidRPr="00F36DA2" w:rsidRDefault="008D563A" w:rsidP="006224DE">
            <w:pPr>
              <w:pStyle w:val="NormalWeb"/>
              <w:contextualSpacing/>
              <w:rPr>
                <w:rFonts w:asciiTheme="minorHAnsi" w:hAnsiTheme="minorHAnsi"/>
                <w:b/>
                <w:sz w:val="22"/>
                <w:szCs w:val="20"/>
              </w:rPr>
            </w:pPr>
            <w:r w:rsidRPr="00F36DA2">
              <w:rPr>
                <w:rFonts w:asciiTheme="minorHAnsi" w:hAnsiTheme="minorHAnsi"/>
                <w:b/>
                <w:sz w:val="22"/>
                <w:szCs w:val="20"/>
              </w:rPr>
              <w:t>Title and p</w:t>
            </w:r>
            <w:r w:rsidR="00647AF0" w:rsidRPr="00F36DA2">
              <w:rPr>
                <w:rFonts w:asciiTheme="minorHAnsi" w:hAnsiTheme="minorHAnsi"/>
                <w:b/>
                <w:sz w:val="22"/>
                <w:szCs w:val="20"/>
              </w:rPr>
              <w:t>osition</w:t>
            </w:r>
            <w:r w:rsidR="002C2CAD" w:rsidRPr="00F36DA2">
              <w:rPr>
                <w:rFonts w:asciiTheme="minorHAnsi" w:hAnsiTheme="minorHAnsi"/>
                <w:b/>
                <w:sz w:val="22"/>
                <w:szCs w:val="20"/>
              </w:rPr>
              <w:t xml:space="preserve"> of </w:t>
            </w:r>
            <w:r w:rsidRPr="00F36DA2">
              <w:rPr>
                <w:rFonts w:asciiTheme="minorHAnsi" w:hAnsiTheme="minorHAnsi"/>
                <w:b/>
                <w:sz w:val="22"/>
                <w:szCs w:val="20"/>
              </w:rPr>
              <w:t>lead</w:t>
            </w:r>
            <w:r w:rsidR="00D60162" w:rsidRPr="00F36DA2">
              <w:rPr>
                <w:rFonts w:asciiTheme="minorHAnsi" w:hAnsiTheme="minorHAnsi"/>
                <w:b/>
                <w:sz w:val="22"/>
                <w:szCs w:val="20"/>
              </w:rPr>
              <w:t xml:space="preserve"> </w:t>
            </w:r>
            <w:r w:rsidR="006224DE" w:rsidRPr="00F36DA2">
              <w:rPr>
                <w:rFonts w:asciiTheme="minorHAnsi" w:hAnsiTheme="minorHAnsi"/>
                <w:b/>
                <w:sz w:val="22"/>
                <w:szCs w:val="20"/>
              </w:rPr>
              <w:t>author</w:t>
            </w:r>
          </w:p>
        </w:tc>
        <w:tc>
          <w:tcPr>
            <w:tcW w:w="3507" w:type="pct"/>
          </w:tcPr>
          <w:p w14:paraId="009D7F82" w14:textId="260AD797" w:rsidR="00647AF0" w:rsidRPr="00F36DA2" w:rsidRDefault="00FB31EB" w:rsidP="006224DE">
            <w:pPr>
              <w:pStyle w:val="NormalWeb"/>
              <w:contextualSpacing/>
              <w:rPr>
                <w:rFonts w:asciiTheme="minorHAnsi" w:hAnsiTheme="minorHAnsi"/>
                <w:sz w:val="20"/>
                <w:szCs w:val="20"/>
              </w:rPr>
            </w:pPr>
            <w:r w:rsidRPr="00F36DA2">
              <w:rPr>
                <w:rFonts w:asciiTheme="minorHAnsi" w:hAnsiTheme="minorHAnsi"/>
                <w:sz w:val="20"/>
                <w:szCs w:val="20"/>
              </w:rPr>
              <w:t xml:space="preserve">Principle Investigator </w:t>
            </w:r>
          </w:p>
        </w:tc>
      </w:tr>
      <w:tr w:rsidR="00647AF0" w:rsidRPr="0017567B" w14:paraId="4F5CBA09" w14:textId="77777777" w:rsidTr="00506BB6">
        <w:tc>
          <w:tcPr>
            <w:tcW w:w="1493" w:type="pct"/>
          </w:tcPr>
          <w:p w14:paraId="40A231DB" w14:textId="77777777" w:rsidR="00647AF0" w:rsidRPr="00F36DA2" w:rsidRDefault="008D563A" w:rsidP="006224DE">
            <w:pPr>
              <w:pStyle w:val="NormalWeb"/>
              <w:contextualSpacing/>
              <w:rPr>
                <w:rFonts w:asciiTheme="minorHAnsi" w:hAnsiTheme="minorHAnsi"/>
                <w:b/>
                <w:sz w:val="22"/>
                <w:szCs w:val="20"/>
              </w:rPr>
            </w:pPr>
            <w:r w:rsidRPr="00F36DA2">
              <w:rPr>
                <w:rFonts w:asciiTheme="minorHAnsi" w:hAnsiTheme="minorHAnsi"/>
                <w:b/>
                <w:sz w:val="22"/>
                <w:szCs w:val="20"/>
              </w:rPr>
              <w:t>Organization and a</w:t>
            </w:r>
            <w:r w:rsidR="00647AF0" w:rsidRPr="00F36DA2">
              <w:rPr>
                <w:rFonts w:asciiTheme="minorHAnsi" w:hAnsiTheme="minorHAnsi"/>
                <w:b/>
                <w:sz w:val="22"/>
                <w:szCs w:val="20"/>
              </w:rPr>
              <w:t>ddress</w:t>
            </w:r>
            <w:r w:rsidR="002C2CAD" w:rsidRPr="00F36DA2">
              <w:rPr>
                <w:rFonts w:asciiTheme="minorHAnsi" w:hAnsiTheme="minorHAnsi"/>
                <w:b/>
                <w:sz w:val="22"/>
                <w:szCs w:val="20"/>
              </w:rPr>
              <w:t xml:space="preserve"> of </w:t>
            </w:r>
            <w:r w:rsidRPr="00F36DA2">
              <w:rPr>
                <w:rFonts w:asciiTheme="minorHAnsi" w:hAnsiTheme="minorHAnsi"/>
                <w:b/>
                <w:sz w:val="22"/>
                <w:szCs w:val="20"/>
              </w:rPr>
              <w:t>lead</w:t>
            </w:r>
            <w:r w:rsidR="00D60162" w:rsidRPr="00F36DA2">
              <w:rPr>
                <w:rFonts w:asciiTheme="minorHAnsi" w:hAnsiTheme="minorHAnsi"/>
                <w:b/>
                <w:sz w:val="22"/>
                <w:szCs w:val="20"/>
              </w:rPr>
              <w:t xml:space="preserve"> </w:t>
            </w:r>
            <w:r w:rsidR="006224DE" w:rsidRPr="00F36DA2">
              <w:rPr>
                <w:rFonts w:asciiTheme="minorHAnsi" w:hAnsiTheme="minorHAnsi"/>
                <w:b/>
                <w:sz w:val="22"/>
                <w:szCs w:val="20"/>
              </w:rPr>
              <w:t>author</w:t>
            </w:r>
          </w:p>
        </w:tc>
        <w:tc>
          <w:tcPr>
            <w:tcW w:w="3507" w:type="pct"/>
          </w:tcPr>
          <w:p w14:paraId="46A56451" w14:textId="77777777" w:rsidR="00BE3E9D" w:rsidRPr="00F36DA2" w:rsidRDefault="00FB31EB" w:rsidP="00BE3E9D">
            <w:pPr>
              <w:pStyle w:val="NormalWeb"/>
              <w:contextualSpacing/>
              <w:rPr>
                <w:rFonts w:asciiTheme="minorHAnsi" w:hAnsiTheme="minorHAnsi"/>
                <w:sz w:val="20"/>
                <w:szCs w:val="20"/>
              </w:rPr>
            </w:pPr>
            <w:r w:rsidRPr="00F36DA2">
              <w:rPr>
                <w:rFonts w:asciiTheme="minorHAnsi" w:hAnsiTheme="minorHAnsi"/>
                <w:sz w:val="20"/>
                <w:szCs w:val="20"/>
              </w:rPr>
              <w:t xml:space="preserve">University of Notre Dame </w:t>
            </w:r>
          </w:p>
          <w:p w14:paraId="295F7D75" w14:textId="1F005C03" w:rsidR="00FB31EB" w:rsidRPr="00F36DA2" w:rsidRDefault="00FB31EB" w:rsidP="00BE3E9D">
            <w:pPr>
              <w:pStyle w:val="NormalWeb"/>
              <w:contextualSpacing/>
              <w:rPr>
                <w:rFonts w:asciiTheme="minorHAnsi" w:hAnsiTheme="minorHAnsi"/>
                <w:sz w:val="20"/>
                <w:szCs w:val="20"/>
              </w:rPr>
            </w:pPr>
            <w:r w:rsidRPr="00F36DA2">
              <w:rPr>
                <w:rFonts w:asciiTheme="minorHAnsi" w:hAnsiTheme="minorHAnsi"/>
                <w:sz w:val="20"/>
                <w:szCs w:val="20"/>
              </w:rPr>
              <w:t>264 Galvin Life Sciences, Notre Dame IN 46556</w:t>
            </w:r>
          </w:p>
        </w:tc>
      </w:tr>
      <w:tr w:rsidR="00647AF0" w:rsidRPr="0017567B" w14:paraId="2185957B" w14:textId="77777777" w:rsidTr="00506BB6">
        <w:tc>
          <w:tcPr>
            <w:tcW w:w="1493" w:type="pct"/>
          </w:tcPr>
          <w:p w14:paraId="3359BE84" w14:textId="77777777" w:rsidR="00647AF0" w:rsidRPr="00F36DA2" w:rsidRDefault="00D60162" w:rsidP="006224DE">
            <w:pPr>
              <w:pStyle w:val="NormalWeb"/>
              <w:contextualSpacing/>
              <w:rPr>
                <w:rFonts w:asciiTheme="minorHAnsi" w:hAnsiTheme="minorHAnsi"/>
                <w:b/>
                <w:sz w:val="22"/>
                <w:szCs w:val="20"/>
              </w:rPr>
            </w:pPr>
            <w:r w:rsidRPr="00F36DA2">
              <w:rPr>
                <w:rFonts w:asciiTheme="minorHAnsi" w:hAnsiTheme="minorHAnsi"/>
                <w:b/>
                <w:sz w:val="22"/>
                <w:szCs w:val="20"/>
              </w:rPr>
              <w:t>Email a</w:t>
            </w:r>
            <w:r w:rsidR="00647AF0" w:rsidRPr="00F36DA2">
              <w:rPr>
                <w:rFonts w:asciiTheme="minorHAnsi" w:hAnsiTheme="minorHAnsi"/>
                <w:b/>
                <w:sz w:val="22"/>
                <w:szCs w:val="20"/>
              </w:rPr>
              <w:t>ddress</w:t>
            </w:r>
            <w:r w:rsidR="002C2CAD" w:rsidRPr="00F36DA2">
              <w:rPr>
                <w:rFonts w:asciiTheme="minorHAnsi" w:hAnsiTheme="minorHAnsi"/>
                <w:b/>
                <w:sz w:val="22"/>
                <w:szCs w:val="20"/>
              </w:rPr>
              <w:t xml:space="preserve"> of </w:t>
            </w:r>
            <w:r w:rsidR="008D563A" w:rsidRPr="00F36DA2">
              <w:rPr>
                <w:rFonts w:asciiTheme="minorHAnsi" w:hAnsiTheme="minorHAnsi"/>
                <w:b/>
                <w:sz w:val="22"/>
                <w:szCs w:val="20"/>
              </w:rPr>
              <w:t>lead</w:t>
            </w:r>
            <w:r w:rsidRPr="00F36DA2">
              <w:rPr>
                <w:rFonts w:asciiTheme="minorHAnsi" w:hAnsiTheme="minorHAnsi"/>
                <w:b/>
                <w:sz w:val="22"/>
                <w:szCs w:val="20"/>
              </w:rPr>
              <w:t xml:space="preserve"> </w:t>
            </w:r>
            <w:r w:rsidR="006224DE" w:rsidRPr="00F36DA2">
              <w:rPr>
                <w:rFonts w:asciiTheme="minorHAnsi" w:hAnsiTheme="minorHAnsi"/>
                <w:b/>
                <w:sz w:val="22"/>
                <w:szCs w:val="20"/>
              </w:rPr>
              <w:t>author</w:t>
            </w:r>
          </w:p>
        </w:tc>
        <w:tc>
          <w:tcPr>
            <w:tcW w:w="3507" w:type="pct"/>
          </w:tcPr>
          <w:p w14:paraId="14EEA03A" w14:textId="0B420D6D" w:rsidR="00647AF0" w:rsidRPr="00F36DA2" w:rsidRDefault="00FB31EB" w:rsidP="00BE3E9D">
            <w:pPr>
              <w:pStyle w:val="NormalWeb"/>
              <w:contextualSpacing/>
              <w:rPr>
                <w:rFonts w:asciiTheme="minorHAnsi" w:hAnsiTheme="minorHAnsi"/>
                <w:sz w:val="20"/>
                <w:szCs w:val="20"/>
              </w:rPr>
            </w:pPr>
            <w:r w:rsidRPr="00F36DA2">
              <w:rPr>
                <w:rFonts w:asciiTheme="minorHAnsi" w:hAnsiTheme="minorHAnsi"/>
                <w:sz w:val="20"/>
                <w:szCs w:val="20"/>
              </w:rPr>
              <w:t>sjones20@nd.edu</w:t>
            </w:r>
          </w:p>
        </w:tc>
      </w:tr>
      <w:tr w:rsidR="00647AF0" w:rsidRPr="0017567B" w14:paraId="0619002A" w14:textId="77777777" w:rsidTr="00506BB6">
        <w:tc>
          <w:tcPr>
            <w:tcW w:w="1493" w:type="pct"/>
          </w:tcPr>
          <w:p w14:paraId="1CC4634E" w14:textId="77777777" w:rsidR="00647AF0" w:rsidRPr="00F36DA2" w:rsidRDefault="008D563A" w:rsidP="00BE3E9D">
            <w:pPr>
              <w:pStyle w:val="NormalWeb"/>
              <w:contextualSpacing/>
              <w:rPr>
                <w:rFonts w:asciiTheme="minorHAnsi" w:hAnsiTheme="minorHAnsi"/>
                <w:b/>
                <w:sz w:val="22"/>
                <w:szCs w:val="20"/>
              </w:rPr>
            </w:pPr>
            <w:r w:rsidRPr="00F36DA2">
              <w:rPr>
                <w:rFonts w:asciiTheme="minorHAnsi" w:hAnsiTheme="minorHAnsi"/>
                <w:b/>
                <w:sz w:val="22"/>
                <w:szCs w:val="20"/>
              </w:rPr>
              <w:t xml:space="preserve">Additional authors or contributors to the dataset </w:t>
            </w:r>
          </w:p>
        </w:tc>
        <w:tc>
          <w:tcPr>
            <w:tcW w:w="3507" w:type="pct"/>
          </w:tcPr>
          <w:p w14:paraId="35227616" w14:textId="4276A21D" w:rsidR="00647AF0" w:rsidRPr="00F36DA2" w:rsidRDefault="00FB31EB" w:rsidP="006224DE">
            <w:pPr>
              <w:pStyle w:val="NormalWeb"/>
              <w:contextualSpacing/>
              <w:rPr>
                <w:rFonts w:asciiTheme="minorHAnsi" w:hAnsiTheme="minorHAnsi"/>
                <w:sz w:val="20"/>
                <w:szCs w:val="20"/>
              </w:rPr>
            </w:pPr>
            <w:r w:rsidRPr="00F36DA2">
              <w:rPr>
                <w:rFonts w:asciiTheme="minorHAnsi" w:hAnsiTheme="minorHAnsi"/>
                <w:sz w:val="20"/>
                <w:szCs w:val="20"/>
              </w:rPr>
              <w:t xml:space="preserve">Brittni L. </w:t>
            </w:r>
            <w:proofErr w:type="spellStart"/>
            <w:r w:rsidRPr="00F36DA2">
              <w:rPr>
                <w:rFonts w:asciiTheme="minorHAnsi" w:hAnsiTheme="minorHAnsi"/>
                <w:sz w:val="20"/>
                <w:szCs w:val="20"/>
              </w:rPr>
              <w:t>Bertolet</w:t>
            </w:r>
            <w:proofErr w:type="spellEnd"/>
            <w:r w:rsidRPr="00F36DA2">
              <w:rPr>
                <w:rFonts w:asciiTheme="minorHAnsi" w:hAnsiTheme="minorHAnsi"/>
                <w:sz w:val="20"/>
                <w:szCs w:val="20"/>
              </w:rPr>
              <w:t xml:space="preserve">, William E. West, David W. Armitage </w:t>
            </w:r>
          </w:p>
        </w:tc>
      </w:tr>
      <w:tr w:rsidR="008D563A" w:rsidRPr="0017567B" w14:paraId="029C5CD4" w14:textId="77777777" w:rsidTr="00506BB6">
        <w:tc>
          <w:tcPr>
            <w:tcW w:w="1493" w:type="pct"/>
          </w:tcPr>
          <w:p w14:paraId="0827FA64" w14:textId="77777777" w:rsidR="008D563A" w:rsidRPr="00F36DA2" w:rsidRDefault="008D563A" w:rsidP="00BE3E9D">
            <w:pPr>
              <w:pStyle w:val="NormalWeb"/>
              <w:contextualSpacing/>
              <w:rPr>
                <w:rFonts w:asciiTheme="minorHAnsi" w:hAnsiTheme="minorHAnsi"/>
                <w:b/>
                <w:sz w:val="22"/>
                <w:szCs w:val="20"/>
              </w:rPr>
            </w:pPr>
            <w:r w:rsidRPr="00F36DA2">
              <w:rPr>
                <w:rFonts w:asciiTheme="minorHAnsi" w:hAnsiTheme="minorHAnsi"/>
                <w:b/>
                <w:sz w:val="22"/>
                <w:szCs w:val="20"/>
              </w:rPr>
              <w:t>Organization associated with the data</w:t>
            </w:r>
          </w:p>
        </w:tc>
        <w:tc>
          <w:tcPr>
            <w:tcW w:w="3507" w:type="pct"/>
          </w:tcPr>
          <w:p w14:paraId="00BD8B79" w14:textId="5C3613A4" w:rsidR="008D563A" w:rsidRPr="00F36DA2" w:rsidRDefault="008D563A" w:rsidP="006224DE">
            <w:pPr>
              <w:pStyle w:val="NormalWeb"/>
              <w:contextualSpacing/>
              <w:rPr>
                <w:rFonts w:asciiTheme="minorHAnsi" w:hAnsiTheme="minorHAnsi"/>
                <w:i/>
                <w:sz w:val="20"/>
                <w:szCs w:val="20"/>
              </w:rPr>
            </w:pPr>
          </w:p>
        </w:tc>
      </w:tr>
      <w:tr w:rsidR="00FC53DF" w:rsidRPr="0017567B" w14:paraId="43CAD5A9" w14:textId="77777777" w:rsidTr="00506BB6">
        <w:tc>
          <w:tcPr>
            <w:tcW w:w="1493" w:type="pct"/>
          </w:tcPr>
          <w:p w14:paraId="43A1E983" w14:textId="77777777" w:rsidR="00FC53DF" w:rsidRPr="00F36DA2" w:rsidRDefault="00FC53DF" w:rsidP="00BE3E9D">
            <w:pPr>
              <w:pStyle w:val="NormalWeb"/>
              <w:contextualSpacing/>
              <w:rPr>
                <w:rFonts w:asciiTheme="minorHAnsi" w:hAnsiTheme="minorHAnsi"/>
                <w:b/>
                <w:sz w:val="22"/>
                <w:szCs w:val="20"/>
              </w:rPr>
            </w:pPr>
            <w:r w:rsidRPr="00F36DA2">
              <w:rPr>
                <w:rFonts w:asciiTheme="minorHAnsi" w:hAnsiTheme="minorHAnsi"/>
                <w:b/>
                <w:sz w:val="22"/>
                <w:szCs w:val="20"/>
              </w:rPr>
              <w:t>Funding</w:t>
            </w:r>
          </w:p>
        </w:tc>
        <w:tc>
          <w:tcPr>
            <w:tcW w:w="3507" w:type="pct"/>
          </w:tcPr>
          <w:p w14:paraId="07B543A6" w14:textId="614AAC6B" w:rsidR="00FB31EB" w:rsidRPr="00F36DA2" w:rsidRDefault="00FB31EB" w:rsidP="006224DE">
            <w:pPr>
              <w:pStyle w:val="NormalWeb"/>
              <w:contextualSpacing/>
              <w:rPr>
                <w:rFonts w:asciiTheme="minorHAnsi" w:hAnsiTheme="minorHAnsi"/>
                <w:sz w:val="20"/>
                <w:szCs w:val="20"/>
              </w:rPr>
            </w:pPr>
            <w:r w:rsidRPr="00F36DA2">
              <w:rPr>
                <w:rFonts w:asciiTheme="minorHAnsi" w:hAnsiTheme="minorHAnsi"/>
                <w:sz w:val="20"/>
                <w:szCs w:val="20"/>
              </w:rPr>
              <w:t>Collaborative Research: Regulation of lake productivity of terrestrial dissolved organic matter, NSF DEB 1754561 (PIs: Stuart E. Jones)</w:t>
            </w:r>
          </w:p>
          <w:p w14:paraId="08C57DA9" w14:textId="1B726861" w:rsidR="00FB31EB" w:rsidRPr="00F36DA2" w:rsidRDefault="00FB31EB" w:rsidP="006224DE">
            <w:pPr>
              <w:pStyle w:val="NormalWeb"/>
              <w:contextualSpacing/>
              <w:rPr>
                <w:rFonts w:asciiTheme="minorHAnsi" w:hAnsiTheme="minorHAnsi"/>
                <w:sz w:val="20"/>
                <w:szCs w:val="20"/>
              </w:rPr>
            </w:pPr>
          </w:p>
          <w:p w14:paraId="35882A48" w14:textId="3D7AE666" w:rsidR="00FC53DF" w:rsidRPr="00F36DA2" w:rsidRDefault="00FB31EB" w:rsidP="006224DE">
            <w:pPr>
              <w:pStyle w:val="NormalWeb"/>
              <w:contextualSpacing/>
              <w:rPr>
                <w:rFonts w:asciiTheme="minorHAnsi" w:hAnsiTheme="minorHAnsi"/>
                <w:sz w:val="20"/>
                <w:szCs w:val="20"/>
              </w:rPr>
            </w:pPr>
            <w:r w:rsidRPr="00F36DA2">
              <w:rPr>
                <w:rFonts w:asciiTheme="minorHAnsi" w:hAnsiTheme="minorHAnsi"/>
                <w:sz w:val="20"/>
                <w:szCs w:val="20"/>
              </w:rPr>
              <w:t>Dimensions: Collaborative Research: Microbial Seed Banks: Processes and patterns of dormancy-driven biodiversity, NSF DEB 1624010 (PIs: Stuart E. Jones)</w:t>
            </w:r>
          </w:p>
        </w:tc>
      </w:tr>
      <w:tr w:rsidR="008D563A" w:rsidRPr="0017567B" w14:paraId="6303A560" w14:textId="77777777" w:rsidTr="00506BB6">
        <w:tc>
          <w:tcPr>
            <w:tcW w:w="1493" w:type="pct"/>
          </w:tcPr>
          <w:p w14:paraId="57739580" w14:textId="77777777" w:rsidR="008D563A" w:rsidRPr="00F36DA2" w:rsidRDefault="008D563A" w:rsidP="00BE3E9D">
            <w:pPr>
              <w:pStyle w:val="NormalWeb"/>
              <w:contextualSpacing/>
              <w:rPr>
                <w:rFonts w:asciiTheme="minorHAnsi" w:hAnsiTheme="minorHAnsi"/>
                <w:b/>
                <w:sz w:val="22"/>
                <w:szCs w:val="20"/>
              </w:rPr>
            </w:pPr>
            <w:r w:rsidRPr="00F36DA2">
              <w:rPr>
                <w:rFonts w:asciiTheme="minorHAnsi" w:hAnsiTheme="minorHAnsi"/>
                <w:b/>
                <w:sz w:val="22"/>
                <w:szCs w:val="20"/>
              </w:rPr>
              <w:t>License</w:t>
            </w:r>
          </w:p>
        </w:tc>
        <w:tc>
          <w:tcPr>
            <w:tcW w:w="3507" w:type="pct"/>
          </w:tcPr>
          <w:p w14:paraId="083B38EE" w14:textId="2F40C877" w:rsidR="008D563A" w:rsidRPr="00F36DA2" w:rsidRDefault="00FB31EB" w:rsidP="00BE3E9D">
            <w:pPr>
              <w:pStyle w:val="NormalWeb"/>
              <w:contextualSpacing/>
              <w:rPr>
                <w:rFonts w:asciiTheme="minorHAnsi" w:hAnsiTheme="minorHAnsi"/>
                <w:sz w:val="20"/>
                <w:szCs w:val="20"/>
              </w:rPr>
            </w:pPr>
            <w:r w:rsidRPr="00F36DA2">
              <w:rPr>
                <w:rFonts w:asciiTheme="minorHAnsi" w:hAnsiTheme="minorHAnsi"/>
                <w:sz w:val="20"/>
                <w:szCs w:val="20"/>
              </w:rPr>
              <w:t>CCBY</w:t>
            </w:r>
          </w:p>
        </w:tc>
      </w:tr>
      <w:tr w:rsidR="008D563A" w:rsidRPr="0017567B" w14:paraId="07520C7B" w14:textId="77777777" w:rsidTr="00506BB6">
        <w:tc>
          <w:tcPr>
            <w:tcW w:w="1493" w:type="pct"/>
          </w:tcPr>
          <w:p w14:paraId="1DEC4671" w14:textId="77777777" w:rsidR="008D563A" w:rsidRPr="00F36DA2" w:rsidRDefault="008D563A" w:rsidP="00BE3E9D">
            <w:pPr>
              <w:pStyle w:val="NormalWeb"/>
              <w:contextualSpacing/>
              <w:rPr>
                <w:rFonts w:asciiTheme="minorHAnsi" w:hAnsiTheme="minorHAnsi"/>
                <w:b/>
                <w:sz w:val="22"/>
                <w:szCs w:val="20"/>
              </w:rPr>
            </w:pPr>
            <w:r w:rsidRPr="00F36DA2">
              <w:rPr>
                <w:rFonts w:asciiTheme="minorHAnsi" w:hAnsiTheme="minorHAnsi"/>
                <w:b/>
                <w:sz w:val="22"/>
                <w:szCs w:val="20"/>
              </w:rPr>
              <w:t xml:space="preserve">Geographic </w:t>
            </w:r>
            <w:r w:rsidR="00FC53DF" w:rsidRPr="00F36DA2">
              <w:rPr>
                <w:rFonts w:asciiTheme="minorHAnsi" w:hAnsiTheme="minorHAnsi"/>
                <w:b/>
                <w:sz w:val="22"/>
                <w:szCs w:val="20"/>
              </w:rPr>
              <w:t>location – verbal description</w:t>
            </w:r>
          </w:p>
        </w:tc>
        <w:tc>
          <w:tcPr>
            <w:tcW w:w="3507" w:type="pct"/>
          </w:tcPr>
          <w:p w14:paraId="52ACC247" w14:textId="279F2120" w:rsidR="00FB31EB" w:rsidRPr="00F36DA2" w:rsidRDefault="00FB31EB" w:rsidP="00BE3E9D">
            <w:pPr>
              <w:pStyle w:val="NormalWeb"/>
              <w:contextualSpacing/>
              <w:rPr>
                <w:rFonts w:asciiTheme="minorHAnsi" w:hAnsiTheme="minorHAnsi"/>
                <w:sz w:val="20"/>
                <w:szCs w:val="20"/>
              </w:rPr>
            </w:pPr>
            <w:r w:rsidRPr="00F36DA2">
              <w:rPr>
                <w:rFonts w:asciiTheme="minorHAnsi" w:hAnsiTheme="minorHAnsi"/>
                <w:sz w:val="20"/>
                <w:szCs w:val="20"/>
              </w:rPr>
              <w:t>University of Notre Dame Environmental Research Center</w:t>
            </w:r>
          </w:p>
          <w:p w14:paraId="1EC68B9D" w14:textId="2B869912" w:rsidR="00FB31EB" w:rsidRPr="00F36DA2" w:rsidRDefault="00FB31EB" w:rsidP="00BE3E9D">
            <w:pPr>
              <w:pStyle w:val="NormalWeb"/>
              <w:contextualSpacing/>
              <w:rPr>
                <w:rFonts w:asciiTheme="minorHAnsi" w:hAnsiTheme="minorHAnsi"/>
                <w:sz w:val="20"/>
                <w:szCs w:val="20"/>
              </w:rPr>
            </w:pPr>
            <w:r w:rsidRPr="00F36DA2">
              <w:rPr>
                <w:rFonts w:asciiTheme="minorHAnsi" w:hAnsiTheme="minorHAnsi"/>
                <w:sz w:val="20"/>
                <w:szCs w:val="20"/>
              </w:rPr>
              <w:t>Wisconsin, USA</w:t>
            </w:r>
          </w:p>
          <w:p w14:paraId="11BB617F" w14:textId="77777777" w:rsidR="008D563A" w:rsidRDefault="008D563A" w:rsidP="00BE3E9D">
            <w:pPr>
              <w:pStyle w:val="NormalWeb"/>
              <w:contextualSpacing/>
              <w:rPr>
                <w:rFonts w:asciiTheme="minorHAnsi" w:hAnsiTheme="minorHAnsi"/>
                <w:sz w:val="20"/>
                <w:szCs w:val="20"/>
              </w:rPr>
            </w:pPr>
            <w:r w:rsidRPr="00F36DA2">
              <w:rPr>
                <w:rFonts w:asciiTheme="minorHAnsi" w:hAnsiTheme="minorHAnsi"/>
                <w:sz w:val="20"/>
                <w:szCs w:val="20"/>
              </w:rPr>
              <w:t xml:space="preserve">Text description of the region of study (can include government entities as in </w:t>
            </w:r>
            <w:r w:rsidRPr="00F36DA2">
              <w:rPr>
                <w:rFonts w:asciiTheme="minorHAnsi" w:hAnsiTheme="minorHAnsi"/>
                <w:sz w:val="20"/>
                <w:szCs w:val="20"/>
              </w:rPr>
              <w:lastRenderedPageBreak/>
              <w:t xml:space="preserve">county, province, state, country, </w:t>
            </w:r>
            <w:proofErr w:type="spellStart"/>
            <w:r w:rsidRPr="00F36DA2">
              <w:rPr>
                <w:rFonts w:asciiTheme="minorHAnsi" w:hAnsiTheme="minorHAnsi"/>
                <w:sz w:val="20"/>
                <w:szCs w:val="20"/>
              </w:rPr>
              <w:t>etc</w:t>
            </w:r>
            <w:proofErr w:type="spellEnd"/>
            <w:r w:rsidRPr="00F36DA2">
              <w:rPr>
                <w:rFonts w:asciiTheme="minorHAnsi" w:hAnsiTheme="minorHAnsi"/>
                <w:sz w:val="20"/>
                <w:szCs w:val="20"/>
              </w:rPr>
              <w:t>) as well as finer-scaled information</w:t>
            </w:r>
          </w:p>
          <w:p w14:paraId="0C572C7A" w14:textId="749BA2A4" w:rsidR="00506BB6" w:rsidRPr="00F36DA2" w:rsidRDefault="00506BB6" w:rsidP="00BE3E9D">
            <w:pPr>
              <w:pStyle w:val="NormalWeb"/>
              <w:contextualSpacing/>
              <w:rPr>
                <w:rFonts w:asciiTheme="minorHAnsi" w:hAnsiTheme="minorHAnsi"/>
                <w:sz w:val="20"/>
                <w:szCs w:val="20"/>
              </w:rPr>
            </w:pPr>
          </w:p>
        </w:tc>
      </w:tr>
      <w:tr w:rsidR="008D563A" w:rsidRPr="0017567B" w14:paraId="5FC8EA9F" w14:textId="77777777" w:rsidTr="00506BB6">
        <w:tc>
          <w:tcPr>
            <w:tcW w:w="1493" w:type="pct"/>
          </w:tcPr>
          <w:p w14:paraId="71B57B16" w14:textId="77777777" w:rsidR="008D563A" w:rsidRPr="00F36DA2" w:rsidRDefault="008D563A" w:rsidP="00BE3E9D">
            <w:pPr>
              <w:pStyle w:val="NormalWeb"/>
              <w:contextualSpacing/>
              <w:rPr>
                <w:rFonts w:asciiTheme="minorHAnsi" w:hAnsiTheme="minorHAnsi"/>
                <w:b/>
                <w:sz w:val="22"/>
                <w:szCs w:val="20"/>
              </w:rPr>
            </w:pPr>
            <w:r w:rsidRPr="00F36DA2">
              <w:rPr>
                <w:rFonts w:asciiTheme="minorHAnsi" w:hAnsiTheme="minorHAnsi"/>
                <w:b/>
                <w:sz w:val="22"/>
                <w:szCs w:val="20"/>
              </w:rPr>
              <w:lastRenderedPageBreak/>
              <w:t xml:space="preserve">Geographic coverage </w:t>
            </w:r>
            <w:r w:rsidR="00FC53DF" w:rsidRPr="00F36DA2">
              <w:rPr>
                <w:rFonts w:asciiTheme="minorHAnsi" w:hAnsiTheme="minorHAnsi"/>
                <w:b/>
                <w:sz w:val="22"/>
                <w:szCs w:val="20"/>
              </w:rPr>
              <w:t>bounding coordinates</w:t>
            </w:r>
          </w:p>
        </w:tc>
        <w:tc>
          <w:tcPr>
            <w:tcW w:w="3507" w:type="pct"/>
          </w:tcPr>
          <w:p w14:paraId="748145EF" w14:textId="77777777" w:rsidR="008D563A" w:rsidRPr="00F36DA2" w:rsidRDefault="00FB31EB" w:rsidP="00B347EA">
            <w:pPr>
              <w:pStyle w:val="NormalWeb"/>
              <w:contextualSpacing/>
              <w:rPr>
                <w:rFonts w:asciiTheme="minorHAnsi" w:hAnsiTheme="minorHAnsi"/>
                <w:sz w:val="20"/>
                <w:szCs w:val="20"/>
              </w:rPr>
            </w:pPr>
            <w:r w:rsidRPr="00F36DA2">
              <w:rPr>
                <w:rFonts w:asciiTheme="minorHAnsi" w:hAnsiTheme="minorHAnsi"/>
                <w:sz w:val="20"/>
                <w:szCs w:val="20"/>
              </w:rPr>
              <w:t>University of Notre Dame Environmental Research Center</w:t>
            </w:r>
          </w:p>
          <w:p w14:paraId="2F37BFF7" w14:textId="3A79695C" w:rsidR="00FB31EB" w:rsidRPr="00F36DA2" w:rsidRDefault="00FB31EB" w:rsidP="00B347EA">
            <w:pPr>
              <w:pStyle w:val="NormalWeb"/>
              <w:contextualSpacing/>
              <w:rPr>
                <w:rFonts w:asciiTheme="minorHAnsi" w:hAnsiTheme="minorHAnsi"/>
                <w:sz w:val="20"/>
                <w:szCs w:val="20"/>
              </w:rPr>
            </w:pPr>
            <w:r w:rsidRPr="00F36DA2">
              <w:rPr>
                <w:rFonts w:asciiTheme="minorHAnsi" w:hAnsiTheme="minorHAnsi"/>
                <w:sz w:val="20"/>
                <w:szCs w:val="20"/>
              </w:rPr>
              <w:t>(46.211411 N, -89.528792 W)</w:t>
            </w:r>
          </w:p>
          <w:p w14:paraId="5A3FE1DE" w14:textId="5AC22A0F" w:rsidR="00FB31EB" w:rsidRPr="00F36DA2" w:rsidRDefault="00FB31EB" w:rsidP="00B347EA">
            <w:pPr>
              <w:pStyle w:val="NormalWeb"/>
              <w:contextualSpacing/>
              <w:rPr>
                <w:rFonts w:asciiTheme="minorHAnsi" w:hAnsiTheme="minorHAnsi"/>
                <w:sz w:val="20"/>
                <w:szCs w:val="20"/>
              </w:rPr>
            </w:pPr>
            <w:r w:rsidRPr="00F36DA2">
              <w:rPr>
                <w:rFonts w:asciiTheme="minorHAnsi" w:hAnsiTheme="minorHAnsi"/>
                <w:sz w:val="20"/>
                <w:szCs w:val="20"/>
              </w:rPr>
              <w:t>(46. 258657 N, -89.458444 W)</w:t>
            </w:r>
          </w:p>
        </w:tc>
      </w:tr>
      <w:tr w:rsidR="008D563A" w:rsidRPr="0017567B" w14:paraId="7ED175FF" w14:textId="77777777" w:rsidTr="00506BB6">
        <w:tc>
          <w:tcPr>
            <w:tcW w:w="1493" w:type="pct"/>
          </w:tcPr>
          <w:p w14:paraId="39DDC1F5" w14:textId="77777777" w:rsidR="008D563A" w:rsidRPr="00F36DA2" w:rsidRDefault="00FC53DF" w:rsidP="00BE3E9D">
            <w:pPr>
              <w:pStyle w:val="NormalWeb"/>
              <w:contextualSpacing/>
              <w:rPr>
                <w:rFonts w:asciiTheme="minorHAnsi" w:hAnsiTheme="minorHAnsi"/>
                <w:b/>
                <w:sz w:val="22"/>
                <w:szCs w:val="20"/>
              </w:rPr>
            </w:pPr>
            <w:r w:rsidRPr="00F36DA2">
              <w:rPr>
                <w:rFonts w:asciiTheme="minorHAnsi" w:hAnsiTheme="minorHAnsi"/>
                <w:b/>
                <w:sz w:val="22"/>
                <w:szCs w:val="20"/>
              </w:rPr>
              <w:t>Time frame</w:t>
            </w:r>
            <w:r w:rsidR="008D563A" w:rsidRPr="00F36DA2">
              <w:rPr>
                <w:rFonts w:asciiTheme="minorHAnsi" w:hAnsiTheme="minorHAnsi"/>
                <w:b/>
                <w:sz w:val="22"/>
                <w:szCs w:val="20"/>
              </w:rPr>
              <w:t xml:space="preserve"> - Begin date</w:t>
            </w:r>
          </w:p>
        </w:tc>
        <w:tc>
          <w:tcPr>
            <w:tcW w:w="3507" w:type="pct"/>
          </w:tcPr>
          <w:p w14:paraId="0B66B8F0" w14:textId="54F9E132" w:rsidR="008D563A" w:rsidRPr="00F36DA2" w:rsidRDefault="00FB31EB" w:rsidP="002C2CAD">
            <w:pPr>
              <w:pStyle w:val="NormalWeb"/>
              <w:contextualSpacing/>
              <w:rPr>
                <w:rFonts w:asciiTheme="minorHAnsi" w:hAnsiTheme="minorHAnsi"/>
                <w:sz w:val="20"/>
                <w:szCs w:val="20"/>
              </w:rPr>
            </w:pPr>
            <w:r w:rsidRPr="00F36DA2">
              <w:rPr>
                <w:rFonts w:asciiTheme="minorHAnsi" w:hAnsiTheme="minorHAnsi"/>
                <w:sz w:val="20"/>
                <w:szCs w:val="20"/>
              </w:rPr>
              <w:t>2012-05-01</w:t>
            </w:r>
          </w:p>
        </w:tc>
      </w:tr>
      <w:tr w:rsidR="008D563A" w:rsidRPr="0017567B" w14:paraId="7B198685" w14:textId="77777777" w:rsidTr="00506BB6">
        <w:tc>
          <w:tcPr>
            <w:tcW w:w="1493" w:type="pct"/>
          </w:tcPr>
          <w:p w14:paraId="44A8BB49" w14:textId="77777777" w:rsidR="008D563A" w:rsidRPr="00F36DA2" w:rsidRDefault="00FC53DF" w:rsidP="002C2CAD">
            <w:pPr>
              <w:pStyle w:val="NormalWeb"/>
              <w:contextualSpacing/>
              <w:rPr>
                <w:rFonts w:asciiTheme="minorHAnsi" w:hAnsiTheme="minorHAnsi"/>
                <w:b/>
                <w:sz w:val="22"/>
                <w:szCs w:val="20"/>
              </w:rPr>
            </w:pPr>
            <w:r w:rsidRPr="00F36DA2">
              <w:rPr>
                <w:rFonts w:asciiTheme="minorHAnsi" w:hAnsiTheme="minorHAnsi"/>
                <w:b/>
                <w:sz w:val="22"/>
                <w:szCs w:val="20"/>
              </w:rPr>
              <w:t>Time frame</w:t>
            </w:r>
            <w:r w:rsidR="008D563A" w:rsidRPr="00F36DA2">
              <w:rPr>
                <w:rFonts w:asciiTheme="minorHAnsi" w:hAnsiTheme="minorHAnsi"/>
                <w:b/>
                <w:sz w:val="22"/>
                <w:szCs w:val="20"/>
              </w:rPr>
              <w:t xml:space="preserve"> - End date</w:t>
            </w:r>
          </w:p>
        </w:tc>
        <w:tc>
          <w:tcPr>
            <w:tcW w:w="3507" w:type="pct"/>
          </w:tcPr>
          <w:p w14:paraId="1825BEE8" w14:textId="125B3D42" w:rsidR="008D563A" w:rsidRPr="00F36DA2" w:rsidRDefault="00FB31EB" w:rsidP="00CC7294">
            <w:pPr>
              <w:pStyle w:val="NormalWeb"/>
              <w:contextualSpacing/>
              <w:rPr>
                <w:rFonts w:asciiTheme="minorHAnsi" w:hAnsiTheme="minorHAnsi"/>
                <w:sz w:val="20"/>
                <w:szCs w:val="20"/>
              </w:rPr>
            </w:pPr>
            <w:r w:rsidRPr="00F36DA2">
              <w:rPr>
                <w:rFonts w:asciiTheme="minorHAnsi" w:hAnsiTheme="minorHAnsi"/>
                <w:sz w:val="20"/>
                <w:szCs w:val="20"/>
              </w:rPr>
              <w:t>2012-</w:t>
            </w:r>
            <w:r w:rsidR="00426913" w:rsidRPr="00F36DA2">
              <w:rPr>
                <w:rFonts w:asciiTheme="minorHAnsi" w:hAnsiTheme="minorHAnsi"/>
                <w:sz w:val="20"/>
                <w:szCs w:val="20"/>
              </w:rPr>
              <w:t>07</w:t>
            </w:r>
            <w:r w:rsidRPr="00F36DA2">
              <w:rPr>
                <w:rFonts w:asciiTheme="minorHAnsi" w:hAnsiTheme="minorHAnsi"/>
                <w:sz w:val="20"/>
                <w:szCs w:val="20"/>
              </w:rPr>
              <w:t>-30</w:t>
            </w:r>
          </w:p>
        </w:tc>
      </w:tr>
      <w:tr w:rsidR="008D563A" w:rsidRPr="0017567B" w14:paraId="68B5C7FB" w14:textId="77777777" w:rsidTr="00506BB6">
        <w:tc>
          <w:tcPr>
            <w:tcW w:w="1493" w:type="pct"/>
          </w:tcPr>
          <w:p w14:paraId="1D4A9E05" w14:textId="77777777" w:rsidR="008D563A" w:rsidRPr="00F36DA2" w:rsidRDefault="008D563A" w:rsidP="002C2CAD">
            <w:pPr>
              <w:pStyle w:val="NormalWeb"/>
              <w:contextualSpacing/>
              <w:rPr>
                <w:rFonts w:asciiTheme="minorHAnsi" w:hAnsiTheme="minorHAnsi"/>
                <w:b/>
                <w:sz w:val="22"/>
                <w:szCs w:val="20"/>
              </w:rPr>
            </w:pPr>
            <w:r w:rsidRPr="00F36DA2">
              <w:rPr>
                <w:rFonts w:asciiTheme="minorHAnsi" w:hAnsiTheme="minorHAnsi"/>
                <w:b/>
                <w:sz w:val="22"/>
                <w:szCs w:val="20"/>
              </w:rPr>
              <w:t>General study design</w:t>
            </w:r>
          </w:p>
        </w:tc>
        <w:tc>
          <w:tcPr>
            <w:tcW w:w="3507" w:type="pct"/>
          </w:tcPr>
          <w:p w14:paraId="529CE97A" w14:textId="5907BB18" w:rsidR="008D563A" w:rsidRPr="00F36DA2" w:rsidRDefault="00FB31EB" w:rsidP="00CA274F">
            <w:pPr>
              <w:spacing w:after="0" w:line="240" w:lineRule="auto"/>
              <w:contextualSpacing/>
              <w:rPr>
                <w:rFonts w:asciiTheme="minorHAnsi" w:hAnsiTheme="minorHAnsi"/>
                <w:sz w:val="20"/>
                <w:szCs w:val="20"/>
              </w:rPr>
            </w:pPr>
            <w:r w:rsidRPr="00F36DA2">
              <w:rPr>
                <w:rFonts w:asciiTheme="minorHAnsi" w:hAnsiTheme="minorHAnsi"/>
                <w:sz w:val="20"/>
                <w:szCs w:val="20"/>
              </w:rPr>
              <w:t>Field survey of 14 lakes. Each lake was sampled once for water and sediment chemistry/biology, sediment methanogenesis rates, and sediment microbial community composition.</w:t>
            </w:r>
          </w:p>
        </w:tc>
      </w:tr>
      <w:tr w:rsidR="008D563A" w:rsidRPr="0017567B" w14:paraId="1C6499A2" w14:textId="77777777" w:rsidTr="00506BB6">
        <w:tc>
          <w:tcPr>
            <w:tcW w:w="1493" w:type="pct"/>
          </w:tcPr>
          <w:p w14:paraId="253F7927" w14:textId="77777777" w:rsidR="008D563A" w:rsidRPr="00F36DA2" w:rsidRDefault="008D563A" w:rsidP="00BE3E9D">
            <w:pPr>
              <w:pStyle w:val="NormalWeb"/>
              <w:contextualSpacing/>
              <w:rPr>
                <w:rFonts w:asciiTheme="minorHAnsi" w:hAnsiTheme="minorHAnsi"/>
                <w:b/>
                <w:sz w:val="22"/>
                <w:szCs w:val="20"/>
              </w:rPr>
            </w:pPr>
            <w:r w:rsidRPr="00F36DA2">
              <w:rPr>
                <w:rFonts w:asciiTheme="minorHAnsi" w:hAnsiTheme="minorHAnsi"/>
                <w:b/>
                <w:sz w:val="22"/>
                <w:szCs w:val="20"/>
              </w:rPr>
              <w:t>Methods description</w:t>
            </w:r>
            <w:r w:rsidR="00FB31EB" w:rsidRPr="00F36DA2">
              <w:rPr>
                <w:rFonts w:asciiTheme="minorHAnsi" w:hAnsiTheme="minorHAnsi"/>
                <w:b/>
                <w:sz w:val="22"/>
                <w:szCs w:val="20"/>
              </w:rPr>
              <w:t>:</w:t>
            </w:r>
          </w:p>
          <w:p w14:paraId="20C5E025" w14:textId="44901898" w:rsidR="00FB31EB" w:rsidRPr="00F36DA2" w:rsidRDefault="00FB31EB" w:rsidP="00BE3E9D">
            <w:pPr>
              <w:pStyle w:val="NormalWeb"/>
              <w:contextualSpacing/>
              <w:rPr>
                <w:rFonts w:asciiTheme="minorHAnsi" w:hAnsiTheme="minorHAnsi"/>
                <w:b/>
                <w:sz w:val="22"/>
                <w:szCs w:val="20"/>
              </w:rPr>
            </w:pPr>
            <w:r w:rsidRPr="00F36DA2">
              <w:rPr>
                <w:rFonts w:asciiTheme="minorHAnsi" w:hAnsiTheme="minorHAnsi"/>
                <w:b/>
                <w:sz w:val="22"/>
                <w:szCs w:val="20"/>
              </w:rPr>
              <w:t xml:space="preserve">Add reference section </w:t>
            </w:r>
          </w:p>
        </w:tc>
        <w:tc>
          <w:tcPr>
            <w:tcW w:w="3507" w:type="pct"/>
          </w:tcPr>
          <w:p w14:paraId="6234BDDC" w14:textId="79728C66" w:rsidR="008D563A" w:rsidRPr="00F36DA2" w:rsidRDefault="00FB31EB" w:rsidP="00FB31EB">
            <w:pPr>
              <w:widowControl w:val="0"/>
              <w:autoSpaceDE w:val="0"/>
              <w:autoSpaceDN w:val="0"/>
              <w:adjustRightInd w:val="0"/>
              <w:spacing w:after="240" w:line="240" w:lineRule="auto"/>
              <w:contextualSpacing/>
              <w:rPr>
                <w:rFonts w:asciiTheme="minorHAnsi" w:hAnsiTheme="minorHAnsi"/>
                <w:b/>
                <w:i/>
                <w:sz w:val="20"/>
                <w:szCs w:val="20"/>
              </w:rPr>
            </w:pPr>
            <w:r w:rsidRPr="00F36DA2">
              <w:rPr>
                <w:rFonts w:asciiTheme="minorHAnsi" w:hAnsiTheme="minorHAnsi"/>
                <w:sz w:val="20"/>
                <w:szCs w:val="20"/>
              </w:rPr>
              <w:t xml:space="preserve">Each lake was sampled once during the summer 2012. Sediments were sampled from the deepest point of the pelagic region for determination of sediment microbial community composition, sediment chemistry (including total nitrogen and total phosphorus), sediment organic matter content, and sediment methanogenesis rates. </w:t>
            </w:r>
            <w:proofErr w:type="spellStart"/>
            <w:r w:rsidRPr="00F36DA2">
              <w:rPr>
                <w:rFonts w:asciiTheme="minorHAnsi" w:hAnsiTheme="minorHAnsi"/>
                <w:sz w:val="20"/>
                <w:szCs w:val="20"/>
              </w:rPr>
              <w:t>Epilimnetic</w:t>
            </w:r>
            <w:proofErr w:type="spellEnd"/>
            <w:r w:rsidRPr="00F36DA2">
              <w:rPr>
                <w:rFonts w:asciiTheme="minorHAnsi" w:hAnsiTheme="minorHAnsi"/>
                <w:sz w:val="20"/>
                <w:szCs w:val="20"/>
              </w:rPr>
              <w:t xml:space="preserve"> water was collected for determination of water column chlorophyll a </w:t>
            </w:r>
            <w:proofErr w:type="gramStart"/>
            <w:r w:rsidRPr="00F36DA2">
              <w:rPr>
                <w:rFonts w:asciiTheme="minorHAnsi" w:hAnsiTheme="minorHAnsi"/>
                <w:sz w:val="20"/>
                <w:szCs w:val="20"/>
              </w:rPr>
              <w:t>concentrations</w:t>
            </w:r>
            <w:proofErr w:type="gramEnd"/>
            <w:r w:rsidRPr="00F36DA2">
              <w:rPr>
                <w:rFonts w:asciiTheme="minorHAnsi" w:hAnsiTheme="minorHAnsi"/>
                <w:sz w:val="20"/>
                <w:szCs w:val="20"/>
              </w:rPr>
              <w:t xml:space="preserve">. pH was recorded at the sediment-water interface. </w:t>
            </w:r>
          </w:p>
        </w:tc>
      </w:tr>
      <w:tr w:rsidR="008D563A" w:rsidRPr="0017567B" w14:paraId="05960CF4" w14:textId="77777777" w:rsidTr="00506BB6">
        <w:tc>
          <w:tcPr>
            <w:tcW w:w="1493" w:type="pct"/>
          </w:tcPr>
          <w:p w14:paraId="5A66A73A" w14:textId="77777777" w:rsidR="008D563A" w:rsidRPr="00F36DA2" w:rsidRDefault="008D563A" w:rsidP="00D60162">
            <w:pPr>
              <w:pStyle w:val="NormalWeb"/>
              <w:contextualSpacing/>
              <w:rPr>
                <w:rFonts w:asciiTheme="minorHAnsi" w:hAnsiTheme="minorHAnsi"/>
                <w:b/>
                <w:sz w:val="22"/>
                <w:szCs w:val="20"/>
              </w:rPr>
            </w:pPr>
            <w:r w:rsidRPr="00F36DA2">
              <w:rPr>
                <w:rFonts w:asciiTheme="minorHAnsi" w:hAnsiTheme="minorHAnsi"/>
                <w:b/>
                <w:sz w:val="22"/>
                <w:szCs w:val="20"/>
              </w:rPr>
              <w:t>Laboratory, field, or other analytical methods</w:t>
            </w:r>
          </w:p>
        </w:tc>
        <w:tc>
          <w:tcPr>
            <w:tcW w:w="3507" w:type="pct"/>
          </w:tcPr>
          <w:p w14:paraId="74E4473C" w14:textId="77777777" w:rsidR="00FB31EB" w:rsidRPr="00F36DA2" w:rsidRDefault="00FB31EB" w:rsidP="00FB31EB">
            <w:pPr>
              <w:widowControl w:val="0"/>
              <w:autoSpaceDE w:val="0"/>
              <w:autoSpaceDN w:val="0"/>
              <w:adjustRightInd w:val="0"/>
              <w:spacing w:after="240" w:line="240" w:lineRule="auto"/>
              <w:contextualSpacing/>
              <w:rPr>
                <w:rFonts w:asciiTheme="minorHAnsi" w:hAnsiTheme="minorHAnsi"/>
                <w:b/>
                <w:i/>
                <w:sz w:val="20"/>
                <w:szCs w:val="20"/>
              </w:rPr>
            </w:pPr>
            <w:r w:rsidRPr="00F36DA2">
              <w:rPr>
                <w:rFonts w:asciiTheme="minorHAnsi" w:hAnsiTheme="minorHAnsi"/>
                <w:b/>
                <w:sz w:val="20"/>
                <w:szCs w:val="20"/>
              </w:rPr>
              <w:t>Microbial community composition:</w:t>
            </w:r>
            <w:r w:rsidRPr="00F36DA2">
              <w:rPr>
                <w:rFonts w:asciiTheme="minorHAnsi" w:hAnsiTheme="minorHAnsi"/>
                <w:b/>
                <w:i/>
                <w:sz w:val="20"/>
                <w:szCs w:val="20"/>
              </w:rPr>
              <w:t xml:space="preserve"> </w:t>
            </w:r>
            <w:r w:rsidRPr="00F36DA2">
              <w:rPr>
                <w:rFonts w:asciiTheme="minorHAnsi" w:hAnsiTheme="minorHAnsi"/>
                <w:sz w:val="20"/>
                <w:szCs w:val="20"/>
              </w:rPr>
              <w:t xml:space="preserve">To determine bacterial and archaeal community composition, we performed 16S rRNA paired-end sequencing on sediment collected from the deepest point of each lake. Sediments were collected from the top 15 cm of the sediment surface using an Ekman dredge. </w:t>
            </w:r>
            <w:r w:rsidRPr="00F36DA2">
              <w:rPr>
                <w:rFonts w:asciiTheme="minorHAnsi" w:hAnsiTheme="minorHAnsi"/>
                <w:color w:val="222222"/>
                <w:sz w:val="20"/>
                <w:szCs w:val="20"/>
              </w:rPr>
              <w:t xml:space="preserve">The sample was homogenized and stored </w:t>
            </w:r>
            <w:r w:rsidRPr="00F36DA2">
              <w:rPr>
                <w:rFonts w:asciiTheme="minorHAnsi" w:hAnsiTheme="minorHAnsi"/>
                <w:sz w:val="20"/>
                <w:szCs w:val="20"/>
              </w:rPr>
              <w:t xml:space="preserve">at -80°C until DNA extraction. A single DNA extraction was performed with 0.5 g of sediment using a </w:t>
            </w:r>
            <w:proofErr w:type="spellStart"/>
            <w:r w:rsidRPr="00F36DA2">
              <w:rPr>
                <w:rFonts w:asciiTheme="minorHAnsi" w:hAnsiTheme="minorHAnsi"/>
                <w:sz w:val="20"/>
                <w:szCs w:val="20"/>
              </w:rPr>
              <w:t>MoBio</w:t>
            </w:r>
            <w:proofErr w:type="spellEnd"/>
            <w:r w:rsidRPr="00F36DA2">
              <w:rPr>
                <w:rFonts w:asciiTheme="minorHAnsi" w:hAnsiTheme="minorHAnsi"/>
                <w:sz w:val="20"/>
                <w:szCs w:val="20"/>
              </w:rPr>
              <w:t xml:space="preserve"> </w:t>
            </w:r>
            <w:proofErr w:type="spellStart"/>
            <w:r w:rsidRPr="00F36DA2">
              <w:rPr>
                <w:rFonts w:asciiTheme="minorHAnsi" w:hAnsiTheme="minorHAnsi"/>
                <w:sz w:val="20"/>
                <w:szCs w:val="20"/>
              </w:rPr>
              <w:t>PowerSoil</w:t>
            </w:r>
            <w:proofErr w:type="spellEnd"/>
            <w:r w:rsidRPr="00F36DA2">
              <w:rPr>
                <w:rFonts w:asciiTheme="minorHAnsi" w:hAnsiTheme="minorHAnsi"/>
                <w:sz w:val="20"/>
                <w:szCs w:val="20"/>
              </w:rPr>
              <w:t xml:space="preserve"> DNA Isolation kit (Mo Bio, Carlsbad, CA, USA) following the manufacturer’s instructions (https://mobio.com/media/wysiwyg/pdfs/protocols/12888.pdf). The V4 region of the 16S rRNA gene was amplified in a 25 </w:t>
            </w:r>
            <w:r w:rsidRPr="00F36DA2">
              <w:rPr>
                <w:rFonts w:asciiTheme="minorHAnsi" w:hAnsiTheme="minorHAnsi"/>
                <w:sz w:val="20"/>
                <w:szCs w:val="20"/>
              </w:rPr>
              <w:sym w:font="Symbol" w:char="F06D"/>
            </w:r>
            <w:r w:rsidRPr="00F36DA2">
              <w:rPr>
                <w:rFonts w:asciiTheme="minorHAnsi" w:hAnsiTheme="minorHAnsi"/>
                <w:sz w:val="20"/>
                <w:szCs w:val="20"/>
              </w:rPr>
              <w:t xml:space="preserve">l PCR reaction according to the Department of Energy Joint Genome Institute (DOE JGI) </w:t>
            </w:r>
            <w:proofErr w:type="spellStart"/>
            <w:r w:rsidRPr="00F36DA2">
              <w:rPr>
                <w:rFonts w:asciiTheme="minorHAnsi" w:hAnsiTheme="minorHAnsi"/>
                <w:sz w:val="20"/>
                <w:szCs w:val="20"/>
              </w:rPr>
              <w:t>iTag</w:t>
            </w:r>
            <w:proofErr w:type="spellEnd"/>
            <w:r w:rsidRPr="00F36DA2">
              <w:rPr>
                <w:rFonts w:asciiTheme="minorHAnsi" w:hAnsiTheme="minorHAnsi"/>
                <w:sz w:val="20"/>
                <w:szCs w:val="20"/>
              </w:rPr>
              <w:t xml:space="preserve"> sample amplification protocol with amplicon primers 515F and 805R. Amplified DNA served as template for high-throughput paired-end (2x150 </w:t>
            </w:r>
            <w:proofErr w:type="spellStart"/>
            <w:r w:rsidRPr="00F36DA2">
              <w:rPr>
                <w:rFonts w:asciiTheme="minorHAnsi" w:hAnsiTheme="minorHAnsi"/>
                <w:sz w:val="20"/>
                <w:szCs w:val="20"/>
              </w:rPr>
              <w:t>bp</w:t>
            </w:r>
            <w:proofErr w:type="spellEnd"/>
            <w:r w:rsidRPr="00F36DA2">
              <w:rPr>
                <w:rFonts w:asciiTheme="minorHAnsi" w:hAnsiTheme="minorHAnsi"/>
                <w:sz w:val="20"/>
                <w:szCs w:val="20"/>
              </w:rPr>
              <w:t xml:space="preserve">) sequencing on an Illumina </w:t>
            </w:r>
            <w:proofErr w:type="spellStart"/>
            <w:r w:rsidRPr="00F36DA2">
              <w:rPr>
                <w:rFonts w:asciiTheme="minorHAnsi" w:hAnsiTheme="minorHAnsi"/>
                <w:sz w:val="20"/>
                <w:szCs w:val="20"/>
              </w:rPr>
              <w:t>MiSeq</w:t>
            </w:r>
            <w:proofErr w:type="spellEnd"/>
            <w:r w:rsidRPr="00F36DA2">
              <w:rPr>
                <w:rFonts w:asciiTheme="minorHAnsi" w:hAnsiTheme="minorHAnsi"/>
                <w:sz w:val="20"/>
                <w:szCs w:val="20"/>
              </w:rPr>
              <w:t xml:space="preserve"> at the DOE JGI (DOE JGI, Walnut Creek, CA, USA). Sequencing produced 3,851,982 sequence reads across the 14 lake sediment samples. Raw sequence reads are available online at DOE JGI Genome Portal under Project ID 1041357. </w:t>
            </w:r>
          </w:p>
          <w:p w14:paraId="4237D514" w14:textId="77777777" w:rsidR="00FB31EB" w:rsidRPr="00F36DA2" w:rsidRDefault="00FB31EB" w:rsidP="00FB31EB">
            <w:pPr>
              <w:widowControl w:val="0"/>
              <w:autoSpaceDE w:val="0"/>
              <w:autoSpaceDN w:val="0"/>
              <w:adjustRightInd w:val="0"/>
              <w:spacing w:after="240" w:line="240" w:lineRule="auto"/>
              <w:ind w:firstLine="720"/>
              <w:contextualSpacing/>
              <w:rPr>
                <w:rFonts w:asciiTheme="minorHAnsi" w:hAnsiTheme="minorHAnsi"/>
                <w:sz w:val="20"/>
                <w:szCs w:val="20"/>
              </w:rPr>
            </w:pPr>
            <w:r w:rsidRPr="00F36DA2">
              <w:rPr>
                <w:rFonts w:asciiTheme="minorHAnsi" w:hAnsiTheme="minorHAnsi"/>
                <w:color w:val="000000" w:themeColor="text1"/>
                <w:sz w:val="20"/>
                <w:szCs w:val="20"/>
              </w:rPr>
              <w:t xml:space="preserve">To quantify community membership, </w:t>
            </w:r>
            <w:r w:rsidRPr="00F36DA2">
              <w:rPr>
                <w:rFonts w:asciiTheme="minorHAnsi" w:hAnsiTheme="minorHAnsi"/>
                <w:sz w:val="20"/>
                <w:szCs w:val="20"/>
              </w:rPr>
              <w:t xml:space="preserve">operational taxonomic units (OTUs) were defined at 97% similarity using the QIIME (version 1.9.1) bioinformatics pipeline for merging of paired-end reads, quality filtering, and OTU picking with the </w:t>
            </w:r>
            <w:r w:rsidRPr="00F36DA2">
              <w:rPr>
                <w:rFonts w:asciiTheme="minorHAnsi" w:hAnsiTheme="minorHAnsi"/>
                <w:i/>
                <w:sz w:val="20"/>
                <w:szCs w:val="20"/>
              </w:rPr>
              <w:t>pick_open_reference_otu.py</w:t>
            </w:r>
            <w:r w:rsidRPr="00F36DA2">
              <w:rPr>
                <w:rFonts w:asciiTheme="minorHAnsi" w:hAnsiTheme="minorHAnsi"/>
                <w:sz w:val="20"/>
                <w:szCs w:val="20"/>
              </w:rPr>
              <w:t xml:space="preserve"> command using the procedure applied in </w:t>
            </w:r>
            <w:proofErr w:type="spellStart"/>
            <w:r w:rsidRPr="00F36DA2">
              <w:rPr>
                <w:rFonts w:asciiTheme="minorHAnsi" w:hAnsiTheme="minorHAnsi"/>
                <w:sz w:val="20"/>
                <w:szCs w:val="20"/>
              </w:rPr>
              <w:t>Caporaso</w:t>
            </w:r>
            <w:proofErr w:type="spellEnd"/>
            <w:r w:rsidRPr="00F36DA2">
              <w:rPr>
                <w:rFonts w:asciiTheme="minorHAnsi" w:hAnsiTheme="minorHAnsi"/>
                <w:sz w:val="20"/>
                <w:szCs w:val="20"/>
              </w:rPr>
              <w:t xml:space="preserve"> et al. 2010. Representative sequences for each OTU were aligned and classified against the </w:t>
            </w:r>
            <w:proofErr w:type="spellStart"/>
            <w:r w:rsidRPr="00F36DA2">
              <w:rPr>
                <w:rFonts w:asciiTheme="minorHAnsi" w:hAnsiTheme="minorHAnsi"/>
                <w:sz w:val="20"/>
                <w:szCs w:val="20"/>
              </w:rPr>
              <w:t>Greengenes</w:t>
            </w:r>
            <w:proofErr w:type="spellEnd"/>
            <w:r w:rsidRPr="00F36DA2">
              <w:rPr>
                <w:rFonts w:asciiTheme="minorHAnsi" w:hAnsiTheme="minorHAnsi"/>
                <w:sz w:val="20"/>
                <w:szCs w:val="20"/>
              </w:rPr>
              <w:t xml:space="preserve"> database version 13.5) (McDonald et al. 2012). OTUs with a single read count were discarded. We then identified methanogen OTUs by the presence of “</w:t>
            </w:r>
            <w:proofErr w:type="spellStart"/>
            <w:r w:rsidRPr="00F36DA2">
              <w:rPr>
                <w:rFonts w:asciiTheme="minorHAnsi" w:hAnsiTheme="minorHAnsi"/>
                <w:sz w:val="20"/>
                <w:szCs w:val="20"/>
              </w:rPr>
              <w:t>Methano</w:t>
            </w:r>
            <w:proofErr w:type="spellEnd"/>
            <w:r w:rsidRPr="00F36DA2">
              <w:rPr>
                <w:rFonts w:asciiTheme="minorHAnsi" w:hAnsiTheme="minorHAnsi"/>
                <w:sz w:val="20"/>
                <w:szCs w:val="20"/>
              </w:rPr>
              <w:t>” in taxonomic assignments, which encompasses all previously identified methanogen taxa. These OTUs were used for MCC analyses and excluded from the non-MCC analyses.</w:t>
            </w:r>
          </w:p>
          <w:p w14:paraId="72F62D5D" w14:textId="77777777" w:rsidR="00FB31EB" w:rsidRPr="00F36DA2" w:rsidRDefault="00FB31EB" w:rsidP="00FB31EB">
            <w:pPr>
              <w:widowControl w:val="0"/>
              <w:autoSpaceDE w:val="0"/>
              <w:autoSpaceDN w:val="0"/>
              <w:adjustRightInd w:val="0"/>
              <w:spacing w:after="240" w:line="240" w:lineRule="auto"/>
              <w:ind w:firstLine="720"/>
              <w:contextualSpacing/>
              <w:rPr>
                <w:rFonts w:asciiTheme="minorHAnsi" w:hAnsiTheme="minorHAnsi"/>
                <w:sz w:val="20"/>
                <w:szCs w:val="20"/>
              </w:rPr>
            </w:pPr>
          </w:p>
          <w:p w14:paraId="69374577" w14:textId="25BBE2EE" w:rsidR="00FB31EB" w:rsidRPr="00F36DA2" w:rsidRDefault="00FB31EB" w:rsidP="00FB31EB">
            <w:pPr>
              <w:widowControl w:val="0"/>
              <w:autoSpaceDE w:val="0"/>
              <w:autoSpaceDN w:val="0"/>
              <w:adjustRightInd w:val="0"/>
              <w:spacing w:after="240" w:line="240" w:lineRule="auto"/>
              <w:contextualSpacing/>
              <w:rPr>
                <w:rFonts w:asciiTheme="minorHAnsi" w:hAnsiTheme="minorHAnsi"/>
                <w:b/>
                <w:i/>
                <w:sz w:val="20"/>
                <w:szCs w:val="20"/>
              </w:rPr>
            </w:pPr>
            <w:r w:rsidRPr="00F36DA2">
              <w:rPr>
                <w:rFonts w:asciiTheme="minorHAnsi" w:hAnsiTheme="minorHAnsi"/>
                <w:b/>
                <w:sz w:val="20"/>
                <w:szCs w:val="20"/>
              </w:rPr>
              <w:t>Lake environmental conditions:</w:t>
            </w:r>
            <w:r w:rsidRPr="00F36DA2">
              <w:rPr>
                <w:rFonts w:asciiTheme="minorHAnsi" w:hAnsiTheme="minorHAnsi"/>
                <w:b/>
                <w:i/>
                <w:sz w:val="20"/>
                <w:szCs w:val="20"/>
              </w:rPr>
              <w:t xml:space="preserve"> </w:t>
            </w:r>
            <w:r w:rsidRPr="00F36DA2">
              <w:rPr>
                <w:rFonts w:asciiTheme="minorHAnsi" w:hAnsiTheme="minorHAnsi"/>
                <w:sz w:val="20"/>
                <w:szCs w:val="20"/>
              </w:rPr>
              <w:t xml:space="preserve">pH and dissolved oxygen (DO) were recorded at the sediment-water interface using a YSI Professional Plus Multiparameter meter (Yellow Springs Instruments, Yellow Springs, OH, USA). An integrated sample of </w:t>
            </w:r>
            <w:proofErr w:type="spellStart"/>
            <w:r w:rsidRPr="00F36DA2">
              <w:rPr>
                <w:rFonts w:asciiTheme="minorHAnsi" w:hAnsiTheme="minorHAnsi"/>
                <w:sz w:val="20"/>
                <w:szCs w:val="20"/>
              </w:rPr>
              <w:t>epilimnetic</w:t>
            </w:r>
            <w:proofErr w:type="spellEnd"/>
            <w:r w:rsidRPr="00F36DA2">
              <w:rPr>
                <w:rFonts w:asciiTheme="minorHAnsi" w:hAnsiTheme="minorHAnsi"/>
                <w:sz w:val="20"/>
                <w:szCs w:val="20"/>
              </w:rPr>
              <w:t xml:space="preserve"> lake water was collected for analysis of lake water column chlorophyll </w:t>
            </w:r>
            <w:r w:rsidRPr="00F36DA2">
              <w:rPr>
                <w:rFonts w:asciiTheme="minorHAnsi" w:hAnsiTheme="minorHAnsi"/>
                <w:i/>
                <w:sz w:val="20"/>
                <w:szCs w:val="20"/>
              </w:rPr>
              <w:t>a</w:t>
            </w:r>
            <w:r w:rsidRPr="00F36DA2">
              <w:rPr>
                <w:rFonts w:asciiTheme="minorHAnsi" w:hAnsiTheme="minorHAnsi"/>
                <w:sz w:val="20"/>
                <w:szCs w:val="20"/>
              </w:rPr>
              <w:t xml:space="preserve"> (</w:t>
            </w:r>
            <w:proofErr w:type="spellStart"/>
            <w:r w:rsidRPr="00F36DA2">
              <w:rPr>
                <w:rFonts w:asciiTheme="minorHAnsi" w:hAnsiTheme="minorHAnsi"/>
                <w:sz w:val="20"/>
                <w:szCs w:val="20"/>
              </w:rPr>
              <w:t>chl</w:t>
            </w:r>
            <w:proofErr w:type="spellEnd"/>
            <w:r w:rsidRPr="00F36DA2">
              <w:rPr>
                <w:rFonts w:asciiTheme="minorHAnsi" w:hAnsiTheme="minorHAnsi"/>
                <w:sz w:val="20"/>
                <w:szCs w:val="20"/>
              </w:rPr>
              <w:t xml:space="preserve"> </w:t>
            </w:r>
            <w:r w:rsidRPr="00F36DA2">
              <w:rPr>
                <w:rFonts w:asciiTheme="minorHAnsi" w:hAnsiTheme="minorHAnsi"/>
                <w:i/>
                <w:sz w:val="20"/>
                <w:szCs w:val="20"/>
              </w:rPr>
              <w:t>a</w:t>
            </w:r>
            <w:r w:rsidRPr="00F36DA2">
              <w:rPr>
                <w:rFonts w:asciiTheme="minorHAnsi" w:hAnsiTheme="minorHAnsi"/>
                <w:sz w:val="20"/>
                <w:szCs w:val="20"/>
              </w:rPr>
              <w:t xml:space="preserve">) concentrations. Particles from 450 mL of epilimnion lake water were captured onto a 0.7 </w:t>
            </w:r>
            <w:proofErr w:type="spellStart"/>
            <w:r w:rsidRPr="00F36DA2">
              <w:rPr>
                <w:rFonts w:asciiTheme="minorHAnsi" w:hAnsiTheme="minorHAnsi"/>
                <w:sz w:val="20"/>
                <w:szCs w:val="20"/>
              </w:rPr>
              <w:t>μm</w:t>
            </w:r>
            <w:proofErr w:type="spellEnd"/>
            <w:r w:rsidRPr="00F36DA2">
              <w:rPr>
                <w:rFonts w:asciiTheme="minorHAnsi" w:hAnsiTheme="minorHAnsi"/>
                <w:sz w:val="20"/>
                <w:szCs w:val="20"/>
              </w:rPr>
              <w:t xml:space="preserve"> glass fiber filter for </w:t>
            </w:r>
            <w:proofErr w:type="gramStart"/>
            <w:r w:rsidRPr="00F36DA2">
              <w:rPr>
                <w:rFonts w:asciiTheme="minorHAnsi" w:hAnsiTheme="minorHAnsi"/>
                <w:sz w:val="20"/>
                <w:szCs w:val="20"/>
              </w:rPr>
              <w:t>analysis, and</w:t>
            </w:r>
            <w:proofErr w:type="gramEnd"/>
            <w:r w:rsidRPr="00F36DA2">
              <w:rPr>
                <w:rFonts w:asciiTheme="minorHAnsi" w:hAnsiTheme="minorHAnsi"/>
                <w:sz w:val="20"/>
                <w:szCs w:val="20"/>
              </w:rPr>
              <w:t xml:space="preserve"> analyzed using methanol extraction and fluorometry (</w:t>
            </w:r>
            <w:proofErr w:type="spellStart"/>
            <w:r w:rsidRPr="00F36DA2">
              <w:rPr>
                <w:rFonts w:asciiTheme="minorHAnsi" w:hAnsiTheme="minorHAnsi"/>
                <w:sz w:val="20"/>
                <w:szCs w:val="20"/>
              </w:rPr>
              <w:t>Welschmeyer</w:t>
            </w:r>
            <w:proofErr w:type="spellEnd"/>
            <w:r w:rsidRPr="00F36DA2">
              <w:rPr>
                <w:rFonts w:asciiTheme="minorHAnsi" w:hAnsiTheme="minorHAnsi"/>
                <w:sz w:val="20"/>
                <w:szCs w:val="20"/>
              </w:rPr>
              <w:t xml:space="preserve"> 1994). </w:t>
            </w:r>
            <w:proofErr w:type="spellStart"/>
            <w:r w:rsidRPr="00F36DA2">
              <w:rPr>
                <w:rFonts w:asciiTheme="minorHAnsi" w:hAnsiTheme="minorHAnsi"/>
                <w:sz w:val="20"/>
                <w:szCs w:val="20"/>
              </w:rPr>
              <w:t>Epilimnetic</w:t>
            </w:r>
            <w:proofErr w:type="spellEnd"/>
            <w:r w:rsidRPr="00F36DA2">
              <w:rPr>
                <w:rFonts w:asciiTheme="minorHAnsi" w:hAnsiTheme="minorHAnsi"/>
                <w:sz w:val="20"/>
                <w:szCs w:val="20"/>
              </w:rPr>
              <w:t xml:space="preserve"> </w:t>
            </w:r>
            <w:proofErr w:type="spellStart"/>
            <w:r w:rsidRPr="00F36DA2">
              <w:rPr>
                <w:rFonts w:asciiTheme="minorHAnsi" w:hAnsiTheme="minorHAnsi"/>
                <w:sz w:val="20"/>
                <w:szCs w:val="20"/>
              </w:rPr>
              <w:t>chl</w:t>
            </w:r>
            <w:proofErr w:type="spellEnd"/>
            <w:r w:rsidRPr="00F36DA2">
              <w:rPr>
                <w:rFonts w:asciiTheme="minorHAnsi" w:hAnsiTheme="minorHAnsi"/>
                <w:sz w:val="20"/>
                <w:szCs w:val="20"/>
              </w:rPr>
              <w:t xml:space="preserve"> </w:t>
            </w:r>
            <w:r w:rsidRPr="00F36DA2">
              <w:rPr>
                <w:rFonts w:asciiTheme="minorHAnsi" w:hAnsiTheme="minorHAnsi"/>
                <w:i/>
                <w:sz w:val="20"/>
                <w:szCs w:val="20"/>
              </w:rPr>
              <w:t>a</w:t>
            </w:r>
            <w:r w:rsidRPr="00F36DA2">
              <w:rPr>
                <w:rFonts w:asciiTheme="minorHAnsi" w:hAnsiTheme="minorHAnsi"/>
                <w:sz w:val="20"/>
                <w:szCs w:val="20"/>
              </w:rPr>
              <w:t xml:space="preserve"> </w:t>
            </w:r>
            <w:proofErr w:type="gramStart"/>
            <w:r w:rsidRPr="00F36DA2">
              <w:rPr>
                <w:rFonts w:asciiTheme="minorHAnsi" w:hAnsiTheme="minorHAnsi"/>
                <w:sz w:val="20"/>
                <w:szCs w:val="20"/>
              </w:rPr>
              <w:t>concentrations</w:t>
            </w:r>
            <w:proofErr w:type="gramEnd"/>
            <w:r w:rsidRPr="00F36DA2">
              <w:rPr>
                <w:rFonts w:asciiTheme="minorHAnsi" w:hAnsiTheme="minorHAnsi"/>
                <w:sz w:val="20"/>
                <w:szCs w:val="20"/>
              </w:rPr>
              <w:t xml:space="preserve"> were used as proxies for supply rates of settling autochthonous carbon.</w:t>
            </w:r>
          </w:p>
          <w:p w14:paraId="69F533A8" w14:textId="23393006" w:rsidR="00FB31EB" w:rsidRPr="00F36DA2" w:rsidRDefault="00FB31EB" w:rsidP="00F36DA2">
            <w:pPr>
              <w:widowControl w:val="0"/>
              <w:autoSpaceDE w:val="0"/>
              <w:autoSpaceDN w:val="0"/>
              <w:adjustRightInd w:val="0"/>
              <w:spacing w:after="240" w:line="240" w:lineRule="auto"/>
              <w:ind w:firstLine="720"/>
              <w:contextualSpacing/>
              <w:rPr>
                <w:rFonts w:asciiTheme="minorHAnsi" w:hAnsiTheme="minorHAnsi"/>
                <w:sz w:val="20"/>
                <w:szCs w:val="20"/>
              </w:rPr>
            </w:pPr>
            <w:r w:rsidRPr="00F36DA2">
              <w:rPr>
                <w:rFonts w:asciiTheme="minorHAnsi" w:hAnsiTheme="minorHAnsi"/>
                <w:sz w:val="20"/>
                <w:szCs w:val="20"/>
              </w:rPr>
              <w:t xml:space="preserve">Surface sediments were also collected to determine sediment organic </w:t>
            </w:r>
            <w:r w:rsidRPr="00F36DA2">
              <w:rPr>
                <w:rFonts w:asciiTheme="minorHAnsi" w:hAnsiTheme="minorHAnsi"/>
                <w:sz w:val="20"/>
                <w:szCs w:val="20"/>
              </w:rPr>
              <w:lastRenderedPageBreak/>
              <w:t>matter content and pore water total nitrogen (TN) and total phosphorus (TP) concentrations. Percent organic matter was determined using loss on ignition measurements of dried sediment samples (</w:t>
            </w:r>
            <w:proofErr w:type="spellStart"/>
            <w:r w:rsidRPr="00F36DA2">
              <w:rPr>
                <w:rFonts w:asciiTheme="minorHAnsi" w:hAnsiTheme="minorHAnsi"/>
                <w:sz w:val="20"/>
                <w:szCs w:val="20"/>
              </w:rPr>
              <w:t>Heiri</w:t>
            </w:r>
            <w:proofErr w:type="spellEnd"/>
            <w:r w:rsidRPr="00F36DA2">
              <w:rPr>
                <w:rFonts w:asciiTheme="minorHAnsi" w:hAnsiTheme="minorHAnsi"/>
                <w:sz w:val="20"/>
                <w:szCs w:val="20"/>
              </w:rPr>
              <w:t xml:space="preserve"> et al. 2001). To determine nutrient concentrations, 30 mL of sediment was centrifuged for 10 minutes to extract sediment pore water. Each sediment sample produced at least 10 mL of pore water, which was diluted to 20 mL and used for determination of pore water TN and TP concentrations. TN and TP concentrations were quantified as described in West et al. (2016). </w:t>
            </w:r>
          </w:p>
          <w:p w14:paraId="042A111B" w14:textId="077095CF" w:rsidR="001347BB" w:rsidRDefault="00FB31EB" w:rsidP="00FB31EB">
            <w:pPr>
              <w:pStyle w:val="NormalWeb"/>
              <w:contextualSpacing/>
              <w:rPr>
                <w:rFonts w:asciiTheme="minorHAnsi" w:hAnsiTheme="minorHAnsi"/>
                <w:sz w:val="20"/>
                <w:szCs w:val="20"/>
              </w:rPr>
            </w:pPr>
            <w:r w:rsidRPr="00F36DA2">
              <w:rPr>
                <w:rFonts w:asciiTheme="minorHAnsi" w:hAnsiTheme="minorHAnsi"/>
                <w:b/>
                <w:sz w:val="20"/>
                <w:szCs w:val="20"/>
              </w:rPr>
              <w:t>Methanogenesis potential:</w:t>
            </w:r>
            <w:r w:rsidRPr="00F36DA2">
              <w:rPr>
                <w:rFonts w:asciiTheme="minorHAnsi" w:hAnsiTheme="minorHAnsi"/>
                <w:b/>
                <w:i/>
                <w:sz w:val="20"/>
                <w:szCs w:val="20"/>
              </w:rPr>
              <w:t xml:space="preserve"> </w:t>
            </w:r>
            <w:r w:rsidRPr="00F36DA2">
              <w:rPr>
                <w:rFonts w:asciiTheme="minorHAnsi" w:hAnsiTheme="minorHAnsi"/>
                <w:sz w:val="20"/>
                <w:szCs w:val="20"/>
              </w:rPr>
              <w:t>During each sampling event, surface sediments were also collected to measure potential lake methanogenesis rates. Methanogenesis rates were determined using sediment incubations as described in West et al. (2016). Incubations were conducted in the laboratory in 300 mL sealed serum bottles containing 50 mL of lake sediment and 50 mL of hypolimnetic lake water. Bottles were flushed with N</w:t>
            </w:r>
            <w:r w:rsidRPr="00F36DA2">
              <w:rPr>
                <w:rFonts w:asciiTheme="minorHAnsi" w:hAnsiTheme="minorHAnsi"/>
                <w:sz w:val="20"/>
                <w:szCs w:val="20"/>
                <w:vertAlign w:val="subscript"/>
              </w:rPr>
              <w:t>2</w:t>
            </w:r>
            <w:r w:rsidRPr="00F36DA2">
              <w:rPr>
                <w:rFonts w:asciiTheme="minorHAnsi" w:hAnsiTheme="minorHAnsi"/>
                <w:sz w:val="20"/>
                <w:szCs w:val="20"/>
              </w:rPr>
              <w:t xml:space="preserve"> gas to maintain anoxia and stored at in-situ lake temperature in the dark for 9 days. Methanogenesis rates were then estimated by sampling the headspace three times over nine days and fitting a linear regression to the time course. CH</w:t>
            </w:r>
            <w:r w:rsidRPr="00F36DA2">
              <w:rPr>
                <w:rFonts w:asciiTheme="minorHAnsi" w:hAnsiTheme="minorHAnsi"/>
                <w:sz w:val="20"/>
                <w:szCs w:val="20"/>
                <w:vertAlign w:val="subscript"/>
              </w:rPr>
              <w:t xml:space="preserve">4 </w:t>
            </w:r>
            <w:r w:rsidRPr="00F36DA2">
              <w:rPr>
                <w:rFonts w:asciiTheme="minorHAnsi" w:hAnsiTheme="minorHAnsi"/>
                <w:sz w:val="20"/>
                <w:szCs w:val="20"/>
              </w:rPr>
              <w:t xml:space="preserve">concentrations were measured using gas chromatography as described in West et al. (2016).  </w:t>
            </w:r>
          </w:p>
          <w:p w14:paraId="7A20CE51" w14:textId="354DDA83" w:rsidR="001347BB" w:rsidRPr="001347BB" w:rsidRDefault="001347BB" w:rsidP="001347BB">
            <w:pPr>
              <w:pStyle w:val="ListParagraph"/>
              <w:numPr>
                <w:ilvl w:val="0"/>
                <w:numId w:val="4"/>
              </w:numPr>
              <w:spacing w:after="0" w:line="240" w:lineRule="auto"/>
              <w:ind w:left="247" w:hanging="247"/>
              <w:rPr>
                <w:rFonts w:asciiTheme="minorHAnsi" w:hAnsiTheme="minorHAnsi"/>
                <w:color w:val="000000" w:themeColor="text1"/>
                <w:sz w:val="20"/>
                <w:szCs w:val="20"/>
                <w:shd w:val="clear" w:color="auto" w:fill="FFFFFF"/>
              </w:rPr>
            </w:pPr>
            <w:proofErr w:type="spellStart"/>
            <w:r w:rsidRPr="001347BB">
              <w:rPr>
                <w:rFonts w:asciiTheme="minorHAnsi" w:hAnsiTheme="minorHAnsi"/>
                <w:sz w:val="20"/>
                <w:szCs w:val="20"/>
              </w:rPr>
              <w:t>Caporaso</w:t>
            </w:r>
            <w:proofErr w:type="spellEnd"/>
            <w:r w:rsidRPr="001347BB">
              <w:rPr>
                <w:rFonts w:asciiTheme="minorHAnsi" w:hAnsiTheme="minorHAnsi"/>
                <w:sz w:val="20"/>
                <w:szCs w:val="20"/>
              </w:rPr>
              <w:t xml:space="preserve"> et al. </w:t>
            </w:r>
            <w:r w:rsidRPr="001347BB">
              <w:rPr>
                <w:rFonts w:asciiTheme="minorHAnsi" w:hAnsiTheme="minorHAnsi"/>
                <w:bCs/>
                <w:sz w:val="20"/>
                <w:szCs w:val="20"/>
              </w:rPr>
              <w:t>2010</w:t>
            </w:r>
            <w:r w:rsidRPr="001347BB">
              <w:rPr>
                <w:rFonts w:asciiTheme="minorHAnsi" w:hAnsiTheme="minorHAnsi"/>
                <w:sz w:val="20"/>
                <w:szCs w:val="20"/>
              </w:rPr>
              <w:t xml:space="preserve">. QIIME allows analysis of high-throughput community sequencing data. Nature Methods 7(5): 335-336, </w:t>
            </w:r>
            <w:r w:rsidRPr="001347BB">
              <w:rPr>
                <w:rFonts w:asciiTheme="minorHAnsi" w:hAnsiTheme="minorHAnsi"/>
                <w:color w:val="000000"/>
                <w:sz w:val="20"/>
                <w:szCs w:val="20"/>
                <w:shd w:val="clear" w:color="auto" w:fill="FFFFFF"/>
              </w:rPr>
              <w:t>do</w:t>
            </w:r>
            <w:r w:rsidRPr="001347BB">
              <w:rPr>
                <w:rFonts w:asciiTheme="minorHAnsi" w:hAnsiTheme="minorHAnsi"/>
                <w:color w:val="000000" w:themeColor="text1"/>
                <w:sz w:val="20"/>
                <w:szCs w:val="20"/>
                <w:shd w:val="clear" w:color="auto" w:fill="FFFFFF"/>
              </w:rPr>
              <w:t>i:</w:t>
            </w:r>
            <w:hyperlink r:id="rId9" w:tgtFrame="pmc_ext" w:history="1">
              <w:r w:rsidRPr="001347BB">
                <w:rPr>
                  <w:rStyle w:val="Hyperlink"/>
                  <w:rFonts w:asciiTheme="minorHAnsi" w:hAnsiTheme="minorHAnsi"/>
                  <w:color w:val="000000" w:themeColor="text1"/>
                  <w:sz w:val="20"/>
                  <w:szCs w:val="20"/>
                  <w:shd w:val="clear" w:color="auto" w:fill="FFFFFF"/>
                </w:rPr>
                <w:t>10.1038/nmeth.f.303</w:t>
              </w:r>
            </w:hyperlink>
          </w:p>
          <w:p w14:paraId="7C72E5AE" w14:textId="5877FF95" w:rsidR="001347BB" w:rsidRPr="001347BB" w:rsidRDefault="001347BB" w:rsidP="001347BB">
            <w:pPr>
              <w:pStyle w:val="ListParagraph"/>
              <w:numPr>
                <w:ilvl w:val="0"/>
                <w:numId w:val="4"/>
              </w:numPr>
              <w:spacing w:after="0" w:line="240" w:lineRule="auto"/>
              <w:ind w:left="247" w:hanging="247"/>
              <w:rPr>
                <w:rFonts w:asciiTheme="minorHAnsi" w:hAnsiTheme="minorHAnsi"/>
                <w:sz w:val="20"/>
                <w:szCs w:val="20"/>
                <w:u w:val="single"/>
              </w:rPr>
            </w:pPr>
            <w:proofErr w:type="spellStart"/>
            <w:r w:rsidRPr="001347BB">
              <w:rPr>
                <w:rFonts w:asciiTheme="minorHAnsi" w:hAnsiTheme="minorHAnsi"/>
                <w:color w:val="211E1E"/>
                <w:sz w:val="20"/>
                <w:szCs w:val="20"/>
              </w:rPr>
              <w:t>Heiri</w:t>
            </w:r>
            <w:proofErr w:type="spellEnd"/>
            <w:r w:rsidRPr="001347BB">
              <w:rPr>
                <w:rFonts w:asciiTheme="minorHAnsi" w:hAnsiTheme="minorHAnsi"/>
                <w:color w:val="211E1E"/>
                <w:sz w:val="20"/>
                <w:szCs w:val="20"/>
              </w:rPr>
              <w:t xml:space="preserve"> et al. 2001. Loss on ignition as a method for estimating organic and carbonate content in sediments: Reproducibility and comparability of results. J. </w:t>
            </w:r>
            <w:proofErr w:type="spellStart"/>
            <w:r w:rsidRPr="001347BB">
              <w:rPr>
                <w:rFonts w:asciiTheme="minorHAnsi" w:hAnsiTheme="minorHAnsi"/>
                <w:color w:val="211E1E"/>
                <w:sz w:val="20"/>
                <w:szCs w:val="20"/>
              </w:rPr>
              <w:t>Paleolimnol</w:t>
            </w:r>
            <w:proofErr w:type="spellEnd"/>
            <w:r w:rsidRPr="001347BB">
              <w:rPr>
                <w:rFonts w:asciiTheme="minorHAnsi" w:hAnsiTheme="minorHAnsi"/>
                <w:color w:val="211E1E"/>
                <w:sz w:val="20"/>
                <w:szCs w:val="20"/>
              </w:rPr>
              <w:t>. 25: 101-110, doi:</w:t>
            </w:r>
            <w:r w:rsidRPr="001347BB">
              <w:rPr>
                <w:rFonts w:asciiTheme="minorHAnsi" w:hAnsiTheme="minorHAnsi"/>
                <w:color w:val="2D2D91"/>
                <w:sz w:val="20"/>
                <w:szCs w:val="20"/>
              </w:rPr>
              <w:t xml:space="preserve">10.1023/a: 1008119611481 </w:t>
            </w:r>
          </w:p>
          <w:p w14:paraId="39879514" w14:textId="5797FA87" w:rsidR="001347BB" w:rsidRPr="001347BB" w:rsidRDefault="001347BB" w:rsidP="001347BB">
            <w:pPr>
              <w:pStyle w:val="ListParagraph"/>
              <w:numPr>
                <w:ilvl w:val="0"/>
                <w:numId w:val="4"/>
              </w:numPr>
              <w:spacing w:after="0" w:line="240" w:lineRule="auto"/>
              <w:ind w:left="247" w:hanging="247"/>
              <w:rPr>
                <w:rFonts w:asciiTheme="minorHAnsi" w:hAnsiTheme="minorHAnsi"/>
                <w:sz w:val="20"/>
                <w:szCs w:val="20"/>
              </w:rPr>
            </w:pPr>
            <w:r w:rsidRPr="001347BB">
              <w:rPr>
                <w:rFonts w:asciiTheme="minorHAnsi" w:hAnsiTheme="minorHAnsi"/>
                <w:sz w:val="20"/>
                <w:szCs w:val="20"/>
              </w:rPr>
              <w:t xml:space="preserve">McDonald et al. 2012. An improved </w:t>
            </w:r>
            <w:proofErr w:type="spellStart"/>
            <w:r w:rsidRPr="001347BB">
              <w:rPr>
                <w:rFonts w:asciiTheme="minorHAnsi" w:hAnsiTheme="minorHAnsi"/>
                <w:sz w:val="20"/>
                <w:szCs w:val="20"/>
              </w:rPr>
              <w:t>Greengenes</w:t>
            </w:r>
            <w:proofErr w:type="spellEnd"/>
            <w:r w:rsidRPr="001347BB">
              <w:rPr>
                <w:rFonts w:asciiTheme="minorHAnsi" w:hAnsiTheme="minorHAnsi"/>
                <w:sz w:val="20"/>
                <w:szCs w:val="20"/>
              </w:rPr>
              <w:t xml:space="preserve"> taxonomy with explicit ranks for ecological and evolutionary analyses of bacteria and archaea. The ISME Journal 6(3): 610-618.</w:t>
            </w:r>
          </w:p>
          <w:p w14:paraId="216F00B3" w14:textId="07989F70" w:rsidR="001347BB" w:rsidRPr="001347BB" w:rsidRDefault="001347BB" w:rsidP="001347BB">
            <w:pPr>
              <w:pStyle w:val="ListParagraph"/>
              <w:numPr>
                <w:ilvl w:val="0"/>
                <w:numId w:val="4"/>
              </w:numPr>
              <w:spacing w:after="0" w:line="240" w:lineRule="auto"/>
              <w:ind w:left="247" w:hanging="247"/>
              <w:rPr>
                <w:rFonts w:asciiTheme="minorHAnsi" w:hAnsiTheme="minorHAnsi"/>
                <w:sz w:val="20"/>
                <w:szCs w:val="20"/>
              </w:rPr>
            </w:pPr>
            <w:proofErr w:type="spellStart"/>
            <w:r w:rsidRPr="001347BB">
              <w:rPr>
                <w:rFonts w:asciiTheme="minorHAnsi" w:hAnsiTheme="minorHAnsi"/>
                <w:sz w:val="20"/>
                <w:szCs w:val="20"/>
              </w:rPr>
              <w:t>Welschmeyer</w:t>
            </w:r>
            <w:proofErr w:type="spellEnd"/>
            <w:r w:rsidRPr="001347BB">
              <w:rPr>
                <w:rFonts w:asciiTheme="minorHAnsi" w:hAnsiTheme="minorHAnsi"/>
                <w:sz w:val="20"/>
                <w:szCs w:val="20"/>
              </w:rPr>
              <w:t xml:space="preserve"> 1994. Fluorometric analysis of chlorophyll a in the presence of chlorophyll b and </w:t>
            </w:r>
            <w:proofErr w:type="spellStart"/>
            <w:r w:rsidRPr="001347BB">
              <w:rPr>
                <w:rFonts w:asciiTheme="minorHAnsi" w:hAnsiTheme="minorHAnsi"/>
                <w:sz w:val="20"/>
                <w:szCs w:val="20"/>
              </w:rPr>
              <w:t>pheopigments</w:t>
            </w:r>
            <w:proofErr w:type="spellEnd"/>
            <w:r w:rsidRPr="001347BB">
              <w:rPr>
                <w:rFonts w:asciiTheme="minorHAnsi" w:hAnsiTheme="minorHAnsi"/>
                <w:sz w:val="20"/>
                <w:szCs w:val="20"/>
              </w:rPr>
              <w:t xml:space="preserve">. </w:t>
            </w:r>
            <w:proofErr w:type="spellStart"/>
            <w:r w:rsidRPr="001347BB">
              <w:rPr>
                <w:rFonts w:asciiTheme="minorHAnsi" w:hAnsiTheme="minorHAnsi"/>
                <w:sz w:val="20"/>
                <w:szCs w:val="20"/>
              </w:rPr>
              <w:t>Limnol</w:t>
            </w:r>
            <w:proofErr w:type="spellEnd"/>
            <w:r w:rsidRPr="001347BB">
              <w:rPr>
                <w:rFonts w:asciiTheme="minorHAnsi" w:hAnsiTheme="minorHAnsi"/>
                <w:sz w:val="20"/>
                <w:szCs w:val="20"/>
              </w:rPr>
              <w:t xml:space="preserve">. </w:t>
            </w:r>
            <w:proofErr w:type="spellStart"/>
            <w:r w:rsidRPr="001347BB">
              <w:rPr>
                <w:rFonts w:asciiTheme="minorHAnsi" w:hAnsiTheme="minorHAnsi"/>
                <w:sz w:val="20"/>
                <w:szCs w:val="20"/>
              </w:rPr>
              <w:t>Oceanogr</w:t>
            </w:r>
            <w:proofErr w:type="spellEnd"/>
            <w:r w:rsidRPr="001347BB">
              <w:rPr>
                <w:rFonts w:asciiTheme="minorHAnsi" w:hAnsiTheme="minorHAnsi"/>
                <w:sz w:val="20"/>
                <w:szCs w:val="20"/>
              </w:rPr>
              <w:t xml:space="preserve">. 39(8): 1985-1992. </w:t>
            </w:r>
          </w:p>
          <w:p w14:paraId="2F2A51EF" w14:textId="347FE6B6" w:rsidR="0031346F" w:rsidRPr="001347BB" w:rsidRDefault="001347BB" w:rsidP="00FB31EB">
            <w:pPr>
              <w:pStyle w:val="ListParagraph"/>
              <w:numPr>
                <w:ilvl w:val="0"/>
                <w:numId w:val="4"/>
              </w:numPr>
              <w:spacing w:after="0" w:line="240" w:lineRule="auto"/>
              <w:ind w:left="247" w:hanging="247"/>
              <w:rPr>
                <w:rFonts w:asciiTheme="minorHAnsi" w:hAnsiTheme="minorHAnsi"/>
                <w:sz w:val="20"/>
                <w:szCs w:val="20"/>
              </w:rPr>
            </w:pPr>
            <w:r w:rsidRPr="001347BB">
              <w:rPr>
                <w:rFonts w:asciiTheme="minorHAnsi" w:hAnsiTheme="minorHAnsi"/>
                <w:sz w:val="20"/>
                <w:szCs w:val="20"/>
              </w:rPr>
              <w:t>West</w:t>
            </w:r>
            <w:r>
              <w:rPr>
                <w:rFonts w:asciiTheme="minorHAnsi" w:hAnsiTheme="minorHAnsi"/>
                <w:sz w:val="20"/>
                <w:szCs w:val="20"/>
              </w:rPr>
              <w:t xml:space="preserve"> et al. </w:t>
            </w:r>
            <w:r w:rsidRPr="001347BB">
              <w:rPr>
                <w:rFonts w:asciiTheme="minorHAnsi" w:hAnsiTheme="minorHAnsi"/>
                <w:sz w:val="20"/>
                <w:szCs w:val="20"/>
              </w:rPr>
              <w:t xml:space="preserve">2016. Productivity and depth regulate lake contributions to atmospheric methane. </w:t>
            </w:r>
            <w:proofErr w:type="spellStart"/>
            <w:r w:rsidRPr="001347BB">
              <w:rPr>
                <w:rFonts w:asciiTheme="minorHAnsi" w:hAnsiTheme="minorHAnsi"/>
                <w:sz w:val="20"/>
                <w:szCs w:val="20"/>
              </w:rPr>
              <w:t>Limnol</w:t>
            </w:r>
            <w:proofErr w:type="spellEnd"/>
            <w:r w:rsidRPr="001347BB">
              <w:rPr>
                <w:rFonts w:asciiTheme="minorHAnsi" w:hAnsiTheme="minorHAnsi"/>
                <w:sz w:val="20"/>
                <w:szCs w:val="20"/>
              </w:rPr>
              <w:t xml:space="preserve">. </w:t>
            </w:r>
            <w:proofErr w:type="spellStart"/>
            <w:r w:rsidRPr="001347BB">
              <w:rPr>
                <w:rFonts w:asciiTheme="minorHAnsi" w:hAnsiTheme="minorHAnsi"/>
                <w:sz w:val="20"/>
                <w:szCs w:val="20"/>
              </w:rPr>
              <w:t>Oceanogr</w:t>
            </w:r>
            <w:proofErr w:type="spellEnd"/>
            <w:r w:rsidRPr="001347BB">
              <w:rPr>
                <w:rFonts w:asciiTheme="minorHAnsi" w:hAnsiTheme="minorHAnsi"/>
                <w:sz w:val="20"/>
                <w:szCs w:val="20"/>
              </w:rPr>
              <w:t xml:space="preserve">. 61: S51-S61, doi:10.1002/lno.10247 </w:t>
            </w:r>
          </w:p>
        </w:tc>
      </w:tr>
      <w:tr w:rsidR="00FC53DF" w:rsidRPr="0017567B" w14:paraId="5615B4ED" w14:textId="77777777" w:rsidTr="00506BB6">
        <w:tc>
          <w:tcPr>
            <w:tcW w:w="1493" w:type="pct"/>
          </w:tcPr>
          <w:p w14:paraId="687B98EC" w14:textId="77777777" w:rsidR="00FC53DF" w:rsidRPr="00F36DA2" w:rsidRDefault="00FC53DF" w:rsidP="00D60162">
            <w:pPr>
              <w:pStyle w:val="NormalWeb"/>
              <w:contextualSpacing/>
              <w:rPr>
                <w:rFonts w:asciiTheme="minorHAnsi" w:hAnsiTheme="minorHAnsi"/>
                <w:b/>
                <w:sz w:val="22"/>
                <w:szCs w:val="20"/>
              </w:rPr>
            </w:pPr>
            <w:r w:rsidRPr="00F36DA2">
              <w:rPr>
                <w:rFonts w:asciiTheme="minorHAnsi" w:hAnsiTheme="minorHAnsi"/>
                <w:b/>
                <w:sz w:val="22"/>
                <w:szCs w:val="20"/>
              </w:rPr>
              <w:lastRenderedPageBreak/>
              <w:t>Taxonomic species or groups</w:t>
            </w:r>
          </w:p>
        </w:tc>
        <w:tc>
          <w:tcPr>
            <w:tcW w:w="3507" w:type="pct"/>
          </w:tcPr>
          <w:p w14:paraId="68A67CFC" w14:textId="19F1249F" w:rsidR="00FC53DF" w:rsidRPr="00F36DA2" w:rsidRDefault="00FB31EB" w:rsidP="00D60162">
            <w:pPr>
              <w:pStyle w:val="NormalWeb"/>
              <w:contextualSpacing/>
              <w:rPr>
                <w:rFonts w:asciiTheme="minorHAnsi" w:hAnsiTheme="minorHAnsi"/>
                <w:sz w:val="20"/>
                <w:szCs w:val="20"/>
              </w:rPr>
            </w:pPr>
            <w:r w:rsidRPr="00F36DA2">
              <w:rPr>
                <w:rFonts w:asciiTheme="minorHAnsi" w:hAnsiTheme="minorHAnsi"/>
                <w:sz w:val="20"/>
                <w:szCs w:val="20"/>
              </w:rPr>
              <w:t>Bacteria and Archaea</w:t>
            </w:r>
          </w:p>
        </w:tc>
      </w:tr>
      <w:tr w:rsidR="008D563A" w:rsidRPr="0017567B" w14:paraId="2D7021C3" w14:textId="77777777" w:rsidTr="00506BB6">
        <w:tc>
          <w:tcPr>
            <w:tcW w:w="1493" w:type="pct"/>
          </w:tcPr>
          <w:p w14:paraId="19CAB8B9" w14:textId="77777777" w:rsidR="008D563A" w:rsidRPr="00F36DA2" w:rsidRDefault="008D563A" w:rsidP="003E320E">
            <w:pPr>
              <w:spacing w:after="0" w:line="240" w:lineRule="auto"/>
              <w:contextualSpacing/>
              <w:rPr>
                <w:rFonts w:asciiTheme="minorHAnsi" w:hAnsiTheme="minorHAnsi"/>
                <w:b/>
                <w:szCs w:val="20"/>
              </w:rPr>
            </w:pPr>
            <w:r w:rsidRPr="00F36DA2">
              <w:rPr>
                <w:rFonts w:asciiTheme="minorHAnsi" w:hAnsiTheme="minorHAnsi"/>
                <w:b/>
                <w:szCs w:val="20"/>
              </w:rPr>
              <w:t>Quality control</w:t>
            </w:r>
          </w:p>
        </w:tc>
        <w:tc>
          <w:tcPr>
            <w:tcW w:w="3507" w:type="pct"/>
          </w:tcPr>
          <w:p w14:paraId="111D55C5" w14:textId="5C8802C5" w:rsidR="008D563A" w:rsidRPr="00F36DA2" w:rsidRDefault="00FB31EB" w:rsidP="003E320E">
            <w:pPr>
              <w:spacing w:after="0" w:line="240" w:lineRule="auto"/>
              <w:contextualSpacing/>
              <w:rPr>
                <w:rFonts w:asciiTheme="minorHAnsi" w:hAnsiTheme="minorHAnsi"/>
                <w:sz w:val="20"/>
                <w:szCs w:val="20"/>
              </w:rPr>
            </w:pPr>
            <w:r w:rsidRPr="00F36DA2">
              <w:rPr>
                <w:rFonts w:asciiTheme="minorHAnsi" w:hAnsiTheme="minorHAnsi"/>
                <w:sz w:val="20"/>
                <w:szCs w:val="20"/>
              </w:rPr>
              <w:t>Environmental chemistry data was subjected to a range check based on previous observations at these sites. Sequence analyses for microbial community composition included a number of standard quality filtering steps (</w:t>
            </w:r>
            <w:proofErr w:type="spellStart"/>
            <w:r w:rsidRPr="00F36DA2">
              <w:rPr>
                <w:rFonts w:asciiTheme="minorHAnsi" w:hAnsiTheme="minorHAnsi"/>
                <w:sz w:val="20"/>
                <w:szCs w:val="20"/>
              </w:rPr>
              <w:t>Caporaso</w:t>
            </w:r>
            <w:proofErr w:type="spellEnd"/>
            <w:r w:rsidRPr="00F36DA2">
              <w:rPr>
                <w:rFonts w:asciiTheme="minorHAnsi" w:hAnsiTheme="minorHAnsi"/>
                <w:sz w:val="20"/>
                <w:szCs w:val="20"/>
              </w:rPr>
              <w:t xml:space="preserve"> et al. 2010)</w:t>
            </w:r>
          </w:p>
        </w:tc>
      </w:tr>
      <w:tr w:rsidR="008D563A" w:rsidRPr="0017567B" w14:paraId="1C7B9AB4" w14:textId="77777777" w:rsidTr="00506BB6">
        <w:tc>
          <w:tcPr>
            <w:tcW w:w="1493" w:type="pct"/>
          </w:tcPr>
          <w:p w14:paraId="41CBFC59" w14:textId="77777777" w:rsidR="008D563A" w:rsidRPr="00F36DA2" w:rsidRDefault="008D563A" w:rsidP="003E320E">
            <w:pPr>
              <w:spacing w:after="0" w:line="240" w:lineRule="auto"/>
              <w:contextualSpacing/>
              <w:rPr>
                <w:rFonts w:asciiTheme="minorHAnsi" w:hAnsiTheme="minorHAnsi"/>
                <w:szCs w:val="20"/>
              </w:rPr>
            </w:pPr>
            <w:r w:rsidRPr="00F36DA2">
              <w:rPr>
                <w:rFonts w:asciiTheme="minorHAnsi" w:hAnsiTheme="minorHAnsi"/>
                <w:b/>
                <w:szCs w:val="20"/>
              </w:rPr>
              <w:t>Additional information</w:t>
            </w:r>
          </w:p>
        </w:tc>
        <w:tc>
          <w:tcPr>
            <w:tcW w:w="3507" w:type="pct"/>
          </w:tcPr>
          <w:p w14:paraId="499CB940" w14:textId="4F485B45" w:rsidR="008D563A" w:rsidRPr="00F36DA2" w:rsidRDefault="00FB31EB" w:rsidP="00D60162">
            <w:pPr>
              <w:spacing w:after="0" w:line="240" w:lineRule="auto"/>
              <w:contextualSpacing/>
              <w:rPr>
                <w:rFonts w:asciiTheme="minorHAnsi" w:hAnsiTheme="minorHAnsi"/>
                <w:i/>
                <w:sz w:val="20"/>
                <w:szCs w:val="20"/>
              </w:rPr>
            </w:pPr>
            <w:r w:rsidRPr="00F36DA2">
              <w:rPr>
                <w:rFonts w:asciiTheme="minorHAnsi" w:hAnsiTheme="minorHAnsi"/>
                <w:i/>
                <w:sz w:val="20"/>
                <w:szCs w:val="20"/>
              </w:rPr>
              <w:t>NA</w:t>
            </w:r>
          </w:p>
        </w:tc>
      </w:tr>
    </w:tbl>
    <w:p w14:paraId="27FA4864" w14:textId="5C97F89C" w:rsidR="00CA274F" w:rsidRDefault="00CA274F" w:rsidP="00E030C6">
      <w:pPr>
        <w:spacing w:line="240" w:lineRule="auto"/>
        <w:rPr>
          <w:rFonts w:ascii="Times New Roman" w:hAnsi="Times New Roman"/>
          <w:b/>
          <w:color w:val="4F81BD" w:themeColor="accent1"/>
          <w:sz w:val="28"/>
        </w:rPr>
      </w:pPr>
    </w:p>
    <w:p w14:paraId="4D2970B5" w14:textId="49D5A925" w:rsidR="00506BB6" w:rsidRDefault="00506BB6" w:rsidP="00E030C6">
      <w:pPr>
        <w:spacing w:line="240" w:lineRule="auto"/>
        <w:rPr>
          <w:rFonts w:ascii="Times New Roman" w:hAnsi="Times New Roman"/>
          <w:b/>
          <w:color w:val="4F81BD" w:themeColor="accent1"/>
          <w:sz w:val="28"/>
        </w:rPr>
      </w:pPr>
    </w:p>
    <w:p w14:paraId="24C6BEAB" w14:textId="778D71DF" w:rsidR="00506BB6" w:rsidRDefault="00506BB6" w:rsidP="00E030C6">
      <w:pPr>
        <w:spacing w:line="240" w:lineRule="auto"/>
        <w:rPr>
          <w:rFonts w:ascii="Times New Roman" w:hAnsi="Times New Roman"/>
          <w:b/>
          <w:color w:val="4F81BD" w:themeColor="accent1"/>
          <w:sz w:val="28"/>
        </w:rPr>
      </w:pPr>
    </w:p>
    <w:p w14:paraId="179A6F0F" w14:textId="5D139288" w:rsidR="00506BB6" w:rsidRDefault="00506BB6" w:rsidP="00E030C6">
      <w:pPr>
        <w:spacing w:line="240" w:lineRule="auto"/>
        <w:rPr>
          <w:rFonts w:ascii="Times New Roman" w:hAnsi="Times New Roman"/>
          <w:b/>
          <w:color w:val="4F81BD" w:themeColor="accent1"/>
          <w:sz w:val="28"/>
        </w:rPr>
      </w:pPr>
    </w:p>
    <w:p w14:paraId="52E962B1" w14:textId="5E7C00BB" w:rsidR="00506BB6" w:rsidRDefault="00506BB6" w:rsidP="00E030C6">
      <w:pPr>
        <w:spacing w:line="240" w:lineRule="auto"/>
        <w:rPr>
          <w:rFonts w:ascii="Times New Roman" w:hAnsi="Times New Roman"/>
          <w:b/>
          <w:color w:val="4F81BD" w:themeColor="accent1"/>
          <w:sz w:val="28"/>
        </w:rPr>
      </w:pPr>
    </w:p>
    <w:p w14:paraId="5634FD5E" w14:textId="49E8ED84" w:rsidR="00506BB6" w:rsidRDefault="00506BB6" w:rsidP="00E030C6">
      <w:pPr>
        <w:spacing w:line="240" w:lineRule="auto"/>
        <w:rPr>
          <w:rFonts w:ascii="Times New Roman" w:hAnsi="Times New Roman"/>
          <w:b/>
          <w:color w:val="4F81BD" w:themeColor="accent1"/>
          <w:sz w:val="28"/>
        </w:rPr>
      </w:pPr>
    </w:p>
    <w:p w14:paraId="07ECD027" w14:textId="77777777" w:rsidR="00506BB6" w:rsidRDefault="00506BB6" w:rsidP="00E030C6">
      <w:pPr>
        <w:spacing w:line="240" w:lineRule="auto"/>
        <w:rPr>
          <w:rFonts w:ascii="Times New Roman" w:hAnsi="Times New Roman"/>
          <w:b/>
          <w:color w:val="4F81BD" w:themeColor="accent1"/>
          <w:sz w:val="28"/>
        </w:rPr>
      </w:pPr>
    </w:p>
    <w:p w14:paraId="0695D190" w14:textId="77777777" w:rsidR="00506BB6" w:rsidRDefault="00506BB6" w:rsidP="00E030C6">
      <w:pPr>
        <w:spacing w:line="240" w:lineRule="auto"/>
        <w:rPr>
          <w:rFonts w:ascii="Times New Roman" w:hAnsi="Times New Roman"/>
          <w:b/>
          <w:color w:val="4F81BD" w:themeColor="accent1"/>
          <w:sz w:val="28"/>
        </w:rPr>
      </w:pPr>
    </w:p>
    <w:p w14:paraId="47B7E285" w14:textId="10B05B7D" w:rsidR="00D07006" w:rsidRPr="00506BB6" w:rsidRDefault="00E030C6" w:rsidP="00E030C6">
      <w:pPr>
        <w:spacing w:line="240" w:lineRule="auto"/>
        <w:rPr>
          <w:rFonts w:ascii="Times New Roman" w:hAnsi="Times New Roman"/>
          <w:sz w:val="24"/>
          <w:szCs w:val="24"/>
        </w:rPr>
      </w:pPr>
      <w:r w:rsidRPr="00506BB6">
        <w:rPr>
          <w:rFonts w:ascii="Times New Roman" w:hAnsi="Times New Roman"/>
          <w:b/>
          <w:color w:val="4F81BD" w:themeColor="accent1"/>
          <w:sz w:val="24"/>
          <w:szCs w:val="24"/>
        </w:rPr>
        <w:t>Table 2.</w:t>
      </w:r>
      <w:r w:rsidRPr="00506BB6">
        <w:rPr>
          <w:rFonts w:ascii="Times New Roman" w:hAnsi="Times New Roman"/>
          <w:sz w:val="24"/>
          <w:szCs w:val="24"/>
        </w:rPr>
        <w:t xml:space="preserve"> </w:t>
      </w:r>
      <w:r w:rsidR="00702E9A" w:rsidRPr="00506BB6">
        <w:rPr>
          <w:rFonts w:ascii="Times New Roman" w:hAnsi="Times New Roman"/>
          <w:color w:val="4F81BD" w:themeColor="accent1"/>
          <w:sz w:val="24"/>
          <w:szCs w:val="24"/>
        </w:rPr>
        <w:t>Data dictionary: d</w:t>
      </w:r>
      <w:r w:rsidRPr="00506BB6">
        <w:rPr>
          <w:rFonts w:ascii="Times New Roman" w:hAnsi="Times New Roman"/>
          <w:color w:val="4F81BD" w:themeColor="accent1"/>
          <w:sz w:val="24"/>
          <w:szCs w:val="24"/>
        </w:rPr>
        <w:t xml:space="preserve">escription of the </w:t>
      </w:r>
      <w:r w:rsidR="00F64512" w:rsidRPr="00506BB6">
        <w:rPr>
          <w:rFonts w:ascii="Times New Roman" w:hAnsi="Times New Roman"/>
          <w:color w:val="4F81BD" w:themeColor="accent1"/>
          <w:sz w:val="24"/>
          <w:szCs w:val="24"/>
        </w:rPr>
        <w:t xml:space="preserve">variables (i.e., columns) in </w:t>
      </w:r>
      <w:r w:rsidR="008A5C3C" w:rsidRPr="00506BB6">
        <w:rPr>
          <w:rFonts w:ascii="Times New Roman" w:hAnsi="Times New Roman"/>
          <w:color w:val="4F81BD" w:themeColor="accent1"/>
          <w:sz w:val="24"/>
          <w:szCs w:val="24"/>
        </w:rPr>
        <w:t>EACH</w:t>
      </w:r>
      <w:r w:rsidR="00F64512" w:rsidRPr="00506BB6">
        <w:rPr>
          <w:rFonts w:ascii="Times New Roman" w:hAnsi="Times New Roman"/>
          <w:color w:val="4F81BD" w:themeColor="accent1"/>
          <w:sz w:val="24"/>
          <w:szCs w:val="24"/>
        </w:rPr>
        <w:t xml:space="preserve"> dataset</w:t>
      </w:r>
      <w:r w:rsidR="001033D4" w:rsidRPr="00506BB6">
        <w:rPr>
          <w:rFonts w:ascii="Times New Roman" w:hAnsi="Times New Roman"/>
          <w:color w:val="4F81BD" w:themeColor="accent1"/>
          <w:sz w:val="24"/>
          <w:szCs w:val="24"/>
        </w:rPr>
        <w:t>.</w:t>
      </w:r>
      <w:r w:rsidR="00F64512" w:rsidRPr="00506BB6">
        <w:rPr>
          <w:rFonts w:ascii="Times New Roman" w:hAnsi="Times New Roman"/>
          <w:sz w:val="24"/>
          <w:szCs w:val="24"/>
        </w:rPr>
        <w:t xml:space="preserve"> </w:t>
      </w:r>
    </w:p>
    <w:p w14:paraId="7479F004" w14:textId="3EB012DB" w:rsidR="008A5C3C" w:rsidRPr="001033D4" w:rsidRDefault="008A5C3C" w:rsidP="001033D4">
      <w:pPr>
        <w:spacing w:after="0" w:line="240" w:lineRule="auto"/>
        <w:rPr>
          <w:rFonts w:ascii="Times New Roman" w:hAnsi="Times New Roman"/>
          <w:i/>
        </w:rPr>
      </w:pPr>
      <w:r>
        <w:rPr>
          <w:rFonts w:ascii="Times New Roman" w:hAnsi="Times New Roman"/>
        </w:rPr>
        <w:t xml:space="preserve">Dataset filename: </w:t>
      </w:r>
      <w:r w:rsidR="00FB31EB">
        <w:rPr>
          <w:rFonts w:ascii="Times New Roman" w:hAnsi="Times New Roman"/>
          <w:i/>
        </w:rPr>
        <w:t xml:space="preserve">envTable.csv </w:t>
      </w:r>
    </w:p>
    <w:p w14:paraId="04F9B248" w14:textId="5F0D19EA" w:rsidR="001033D4" w:rsidRPr="001033D4" w:rsidRDefault="001033D4" w:rsidP="001033D4">
      <w:pPr>
        <w:spacing w:after="0" w:line="240" w:lineRule="auto"/>
        <w:rPr>
          <w:rFonts w:ascii="Times New Roman" w:hAnsi="Times New Roman"/>
          <w:i/>
        </w:rPr>
      </w:pPr>
      <w:r>
        <w:rPr>
          <w:rFonts w:ascii="Times New Roman" w:hAnsi="Times New Roman"/>
        </w:rPr>
        <w:t xml:space="preserve">Dataset description: </w:t>
      </w:r>
      <w:r w:rsidR="00FB31EB">
        <w:rPr>
          <w:rFonts w:ascii="Times New Roman" w:hAnsi="Times New Roman"/>
          <w:i/>
        </w:rPr>
        <w:t xml:space="preserve">Environmental data for 14 lakes sampled, including epilimnion chlorophyll a </w:t>
      </w:r>
      <w:proofErr w:type="gramStart"/>
      <w:r w:rsidR="00FB31EB">
        <w:rPr>
          <w:rFonts w:ascii="Times New Roman" w:hAnsi="Times New Roman"/>
          <w:i/>
        </w:rPr>
        <w:t>concentrations</w:t>
      </w:r>
      <w:proofErr w:type="gramEnd"/>
      <w:r w:rsidR="00FB31EB">
        <w:rPr>
          <w:rFonts w:ascii="Times New Roman" w:hAnsi="Times New Roman"/>
          <w:i/>
        </w:rPr>
        <w:t xml:space="preserve">, pH at the sediment-water interface, sediment porewater total nitrogen and total phosphorus concentration, sediment organic matter percent, and sediment methanogenesis rates. </w:t>
      </w:r>
    </w:p>
    <w:tbl>
      <w:tblPr>
        <w:tblStyle w:val="TableGrid"/>
        <w:tblW w:w="5000" w:type="pct"/>
        <w:tblLook w:val="04A0" w:firstRow="1" w:lastRow="0" w:firstColumn="1" w:lastColumn="0" w:noHBand="0" w:noVBand="1"/>
      </w:tblPr>
      <w:tblGrid>
        <w:gridCol w:w="1486"/>
        <w:gridCol w:w="1709"/>
        <w:gridCol w:w="1397"/>
        <w:gridCol w:w="2364"/>
        <w:gridCol w:w="1312"/>
        <w:gridCol w:w="1308"/>
      </w:tblGrid>
      <w:tr w:rsidR="00FB31EB" w:rsidRPr="0017567B" w14:paraId="24308F47" w14:textId="77777777" w:rsidTr="00506BB6">
        <w:trPr>
          <w:trHeight w:val="315"/>
        </w:trPr>
        <w:tc>
          <w:tcPr>
            <w:tcW w:w="639" w:type="pct"/>
            <w:noWrap/>
            <w:hideMark/>
          </w:tcPr>
          <w:p w14:paraId="7A392C20" w14:textId="77777777" w:rsidR="001033D4" w:rsidRPr="00CA274F" w:rsidRDefault="001033D4" w:rsidP="00C705B7">
            <w:pPr>
              <w:spacing w:after="0" w:line="240" w:lineRule="auto"/>
              <w:rPr>
                <w:rFonts w:asciiTheme="minorHAnsi" w:hAnsiTheme="minorHAnsi"/>
                <w:b/>
                <w:bCs/>
              </w:rPr>
            </w:pPr>
            <w:r w:rsidRPr="00CA274F">
              <w:rPr>
                <w:rFonts w:asciiTheme="minorHAnsi" w:hAnsiTheme="minorHAnsi"/>
                <w:b/>
                <w:bCs/>
              </w:rPr>
              <w:t>Column name</w:t>
            </w:r>
          </w:p>
        </w:tc>
        <w:tc>
          <w:tcPr>
            <w:tcW w:w="920" w:type="pct"/>
            <w:hideMark/>
          </w:tcPr>
          <w:p w14:paraId="7E5EBBC3" w14:textId="77777777" w:rsidR="001033D4" w:rsidRPr="00CA274F" w:rsidRDefault="001033D4" w:rsidP="00C705B7">
            <w:pPr>
              <w:spacing w:after="0" w:line="240" w:lineRule="auto"/>
              <w:rPr>
                <w:rFonts w:asciiTheme="minorHAnsi" w:hAnsiTheme="minorHAnsi"/>
                <w:b/>
                <w:bCs/>
              </w:rPr>
            </w:pPr>
            <w:r w:rsidRPr="00CA274F">
              <w:rPr>
                <w:rFonts w:asciiTheme="minorHAnsi" w:hAnsiTheme="minorHAnsi"/>
                <w:b/>
                <w:bCs/>
              </w:rPr>
              <w:t>Description</w:t>
            </w:r>
          </w:p>
        </w:tc>
        <w:tc>
          <w:tcPr>
            <w:tcW w:w="757" w:type="pct"/>
          </w:tcPr>
          <w:p w14:paraId="135616A9" w14:textId="77777777" w:rsidR="001033D4" w:rsidRPr="00CA274F" w:rsidRDefault="001033D4" w:rsidP="00C705B7">
            <w:pPr>
              <w:spacing w:after="0" w:line="240" w:lineRule="auto"/>
              <w:rPr>
                <w:rFonts w:asciiTheme="minorHAnsi" w:hAnsiTheme="minorHAnsi"/>
                <w:b/>
                <w:bCs/>
              </w:rPr>
            </w:pPr>
            <w:r w:rsidRPr="00CA274F">
              <w:rPr>
                <w:rFonts w:asciiTheme="minorHAnsi" w:hAnsiTheme="minorHAnsi"/>
                <w:b/>
                <w:bCs/>
              </w:rPr>
              <w:t>Units</w:t>
            </w:r>
          </w:p>
        </w:tc>
        <w:tc>
          <w:tcPr>
            <w:tcW w:w="1262" w:type="pct"/>
          </w:tcPr>
          <w:p w14:paraId="68B01DBF" w14:textId="77777777" w:rsidR="001033D4" w:rsidRPr="00CA274F" w:rsidRDefault="001033D4" w:rsidP="00C705B7">
            <w:pPr>
              <w:spacing w:after="0" w:line="240" w:lineRule="auto"/>
              <w:rPr>
                <w:rFonts w:asciiTheme="minorHAnsi" w:hAnsiTheme="minorHAnsi"/>
                <w:b/>
                <w:bCs/>
              </w:rPr>
            </w:pPr>
            <w:r w:rsidRPr="00CA274F">
              <w:rPr>
                <w:rFonts w:asciiTheme="minorHAnsi" w:hAnsiTheme="minorHAnsi"/>
                <w:b/>
                <w:bCs/>
              </w:rPr>
              <w:t>Code explanation</w:t>
            </w:r>
          </w:p>
        </w:tc>
        <w:tc>
          <w:tcPr>
            <w:tcW w:w="712" w:type="pct"/>
          </w:tcPr>
          <w:p w14:paraId="477205BF" w14:textId="77777777" w:rsidR="001033D4" w:rsidRPr="00CA274F" w:rsidRDefault="001033D4" w:rsidP="00C705B7">
            <w:pPr>
              <w:spacing w:after="0" w:line="240" w:lineRule="auto"/>
              <w:rPr>
                <w:rFonts w:asciiTheme="minorHAnsi" w:hAnsiTheme="minorHAnsi"/>
                <w:b/>
                <w:bCs/>
              </w:rPr>
            </w:pPr>
            <w:r w:rsidRPr="00CA274F">
              <w:rPr>
                <w:rFonts w:asciiTheme="minorHAnsi" w:hAnsiTheme="minorHAnsi"/>
                <w:b/>
                <w:bCs/>
              </w:rPr>
              <w:t>Data format</w:t>
            </w:r>
          </w:p>
        </w:tc>
        <w:tc>
          <w:tcPr>
            <w:tcW w:w="710" w:type="pct"/>
          </w:tcPr>
          <w:p w14:paraId="7C5356A9" w14:textId="77777777" w:rsidR="001033D4" w:rsidRPr="00CA274F" w:rsidRDefault="001033D4" w:rsidP="00C705B7">
            <w:pPr>
              <w:spacing w:after="0" w:line="240" w:lineRule="auto"/>
              <w:rPr>
                <w:rFonts w:asciiTheme="minorHAnsi" w:hAnsiTheme="minorHAnsi"/>
                <w:b/>
                <w:bCs/>
              </w:rPr>
            </w:pPr>
            <w:r w:rsidRPr="00CA274F">
              <w:rPr>
                <w:rFonts w:asciiTheme="minorHAnsi" w:hAnsiTheme="minorHAnsi"/>
                <w:b/>
                <w:bCs/>
              </w:rPr>
              <w:t>Missing data code</w:t>
            </w:r>
          </w:p>
        </w:tc>
      </w:tr>
      <w:tr w:rsidR="00FB31EB" w:rsidRPr="0017567B" w14:paraId="12B61415" w14:textId="77777777" w:rsidTr="00506BB6">
        <w:trPr>
          <w:trHeight w:val="305"/>
        </w:trPr>
        <w:tc>
          <w:tcPr>
            <w:tcW w:w="639" w:type="pct"/>
            <w:noWrap/>
          </w:tcPr>
          <w:p w14:paraId="75F55043" w14:textId="7A7799C5" w:rsidR="001033D4" w:rsidRPr="00F36DA2" w:rsidRDefault="00FB31EB" w:rsidP="00F64512">
            <w:pPr>
              <w:spacing w:after="0" w:line="240" w:lineRule="auto"/>
              <w:rPr>
                <w:rFonts w:asciiTheme="minorHAnsi" w:hAnsiTheme="minorHAnsi"/>
                <w:sz w:val="20"/>
              </w:rPr>
            </w:pPr>
            <w:proofErr w:type="spellStart"/>
            <w:r w:rsidRPr="00F36DA2">
              <w:rPr>
                <w:rFonts w:asciiTheme="minorHAnsi" w:hAnsiTheme="minorHAnsi"/>
                <w:sz w:val="20"/>
              </w:rPr>
              <w:t>LakeID</w:t>
            </w:r>
            <w:proofErr w:type="spellEnd"/>
          </w:p>
        </w:tc>
        <w:tc>
          <w:tcPr>
            <w:tcW w:w="920" w:type="pct"/>
          </w:tcPr>
          <w:p w14:paraId="5F150064" w14:textId="61F559CD" w:rsidR="001033D4" w:rsidRPr="00F36DA2" w:rsidRDefault="00FB31EB" w:rsidP="00F64512">
            <w:pPr>
              <w:spacing w:after="0" w:line="240" w:lineRule="auto"/>
              <w:rPr>
                <w:rFonts w:asciiTheme="minorHAnsi" w:hAnsiTheme="minorHAnsi"/>
                <w:sz w:val="20"/>
              </w:rPr>
            </w:pPr>
            <w:r w:rsidRPr="00F36DA2">
              <w:rPr>
                <w:rFonts w:asciiTheme="minorHAnsi" w:hAnsiTheme="minorHAnsi"/>
                <w:sz w:val="20"/>
              </w:rPr>
              <w:t xml:space="preserve">Two letter identification code for each lake </w:t>
            </w:r>
          </w:p>
        </w:tc>
        <w:tc>
          <w:tcPr>
            <w:tcW w:w="757" w:type="pct"/>
          </w:tcPr>
          <w:p w14:paraId="43BCE574" w14:textId="77F434D4" w:rsidR="001033D4" w:rsidRPr="00F36DA2" w:rsidRDefault="00FB31EB" w:rsidP="00F64512">
            <w:pPr>
              <w:spacing w:after="0" w:line="240" w:lineRule="auto"/>
              <w:rPr>
                <w:rFonts w:asciiTheme="minorHAnsi" w:hAnsiTheme="minorHAnsi"/>
                <w:sz w:val="20"/>
              </w:rPr>
            </w:pPr>
            <w:r w:rsidRPr="00F36DA2">
              <w:rPr>
                <w:rFonts w:asciiTheme="minorHAnsi" w:hAnsiTheme="minorHAnsi"/>
                <w:sz w:val="20"/>
              </w:rPr>
              <w:t>NA</w:t>
            </w:r>
          </w:p>
        </w:tc>
        <w:tc>
          <w:tcPr>
            <w:tcW w:w="1262" w:type="pct"/>
          </w:tcPr>
          <w:p w14:paraId="6417CB40" w14:textId="77777777" w:rsidR="001033D4" w:rsidRPr="00F36DA2" w:rsidRDefault="00FB31EB" w:rsidP="00F64512">
            <w:pPr>
              <w:spacing w:after="0" w:line="240" w:lineRule="auto"/>
              <w:rPr>
                <w:rFonts w:asciiTheme="minorHAnsi" w:hAnsiTheme="minorHAnsi"/>
                <w:sz w:val="20"/>
              </w:rPr>
            </w:pPr>
            <w:r w:rsidRPr="00F36DA2">
              <w:rPr>
                <w:rFonts w:asciiTheme="minorHAnsi" w:hAnsiTheme="minorHAnsi"/>
                <w:sz w:val="20"/>
              </w:rPr>
              <w:t>BA = Bay Lake</w:t>
            </w:r>
          </w:p>
          <w:p w14:paraId="04BFC13D" w14:textId="77777777" w:rsidR="00FB31EB" w:rsidRPr="00F36DA2" w:rsidRDefault="00FB31EB" w:rsidP="00F64512">
            <w:pPr>
              <w:spacing w:after="0" w:line="240" w:lineRule="auto"/>
              <w:rPr>
                <w:rFonts w:asciiTheme="minorHAnsi" w:hAnsiTheme="minorHAnsi"/>
                <w:sz w:val="20"/>
              </w:rPr>
            </w:pPr>
            <w:r w:rsidRPr="00F36DA2">
              <w:rPr>
                <w:rFonts w:asciiTheme="minorHAnsi" w:hAnsiTheme="minorHAnsi"/>
                <w:sz w:val="20"/>
              </w:rPr>
              <w:t>BE = Bergner Lake</w:t>
            </w:r>
          </w:p>
          <w:p w14:paraId="0BE3F495" w14:textId="77777777" w:rsidR="00FB31EB" w:rsidRPr="00F36DA2" w:rsidRDefault="00FB31EB" w:rsidP="00F64512">
            <w:pPr>
              <w:spacing w:after="0" w:line="240" w:lineRule="auto"/>
              <w:rPr>
                <w:rFonts w:asciiTheme="minorHAnsi" w:hAnsiTheme="minorHAnsi"/>
                <w:sz w:val="20"/>
              </w:rPr>
            </w:pPr>
            <w:r w:rsidRPr="00F36DA2">
              <w:rPr>
                <w:rFonts w:asciiTheme="minorHAnsi" w:hAnsiTheme="minorHAnsi"/>
                <w:sz w:val="20"/>
              </w:rPr>
              <w:t>BO = Bolger Bog</w:t>
            </w:r>
          </w:p>
          <w:p w14:paraId="4CC8FE0D" w14:textId="52D1FC75" w:rsidR="00FB31EB" w:rsidRPr="00F36DA2" w:rsidRDefault="00FB31EB" w:rsidP="00F64512">
            <w:pPr>
              <w:spacing w:after="0" w:line="240" w:lineRule="auto"/>
              <w:rPr>
                <w:rFonts w:asciiTheme="minorHAnsi" w:hAnsiTheme="minorHAnsi"/>
                <w:sz w:val="20"/>
              </w:rPr>
            </w:pPr>
            <w:r w:rsidRPr="00F36DA2">
              <w:rPr>
                <w:rFonts w:asciiTheme="minorHAnsi" w:hAnsiTheme="minorHAnsi"/>
                <w:sz w:val="20"/>
              </w:rPr>
              <w:t>BR = Brown Lake</w:t>
            </w:r>
          </w:p>
          <w:p w14:paraId="2A7AC760" w14:textId="09A9DD27" w:rsidR="00FB31EB" w:rsidRPr="00F36DA2" w:rsidRDefault="00FB31EB" w:rsidP="00F64512">
            <w:pPr>
              <w:spacing w:after="0" w:line="240" w:lineRule="auto"/>
              <w:rPr>
                <w:rFonts w:asciiTheme="minorHAnsi" w:hAnsiTheme="minorHAnsi"/>
                <w:sz w:val="20"/>
              </w:rPr>
            </w:pPr>
            <w:r w:rsidRPr="00F36DA2">
              <w:rPr>
                <w:rFonts w:asciiTheme="minorHAnsi" w:hAnsiTheme="minorHAnsi"/>
                <w:sz w:val="20"/>
              </w:rPr>
              <w:t>CB = Cranberry Bog</w:t>
            </w:r>
          </w:p>
          <w:p w14:paraId="117C0198" w14:textId="77777777" w:rsidR="00FB31EB" w:rsidRPr="00F36DA2" w:rsidRDefault="00FB31EB" w:rsidP="00F64512">
            <w:pPr>
              <w:spacing w:after="0" w:line="240" w:lineRule="auto"/>
              <w:rPr>
                <w:rFonts w:asciiTheme="minorHAnsi" w:hAnsiTheme="minorHAnsi"/>
                <w:sz w:val="20"/>
              </w:rPr>
            </w:pPr>
            <w:r w:rsidRPr="00F36DA2">
              <w:rPr>
                <w:rFonts w:asciiTheme="minorHAnsi" w:hAnsiTheme="minorHAnsi"/>
                <w:sz w:val="20"/>
              </w:rPr>
              <w:t>CR = Crampton Lake</w:t>
            </w:r>
          </w:p>
          <w:p w14:paraId="3EA42367" w14:textId="77777777" w:rsidR="00FB31EB" w:rsidRPr="00F36DA2" w:rsidRDefault="00FB31EB" w:rsidP="00F64512">
            <w:pPr>
              <w:spacing w:after="0" w:line="240" w:lineRule="auto"/>
              <w:rPr>
                <w:rFonts w:asciiTheme="minorHAnsi" w:hAnsiTheme="minorHAnsi"/>
                <w:sz w:val="20"/>
              </w:rPr>
            </w:pPr>
            <w:r w:rsidRPr="00F36DA2">
              <w:rPr>
                <w:rFonts w:asciiTheme="minorHAnsi" w:hAnsiTheme="minorHAnsi"/>
                <w:sz w:val="20"/>
              </w:rPr>
              <w:t>FO = Foggy Lake</w:t>
            </w:r>
          </w:p>
          <w:p w14:paraId="3249E6A7" w14:textId="77777777" w:rsidR="00FB31EB" w:rsidRPr="00F36DA2" w:rsidRDefault="00FB31EB" w:rsidP="00F64512">
            <w:pPr>
              <w:spacing w:after="0" w:line="240" w:lineRule="auto"/>
              <w:rPr>
                <w:rFonts w:asciiTheme="minorHAnsi" w:hAnsiTheme="minorHAnsi"/>
                <w:sz w:val="20"/>
              </w:rPr>
            </w:pPr>
            <w:r w:rsidRPr="00F36DA2">
              <w:rPr>
                <w:rFonts w:asciiTheme="minorHAnsi" w:hAnsiTheme="minorHAnsi"/>
                <w:sz w:val="20"/>
              </w:rPr>
              <w:t>HB = Hummingbird Bog</w:t>
            </w:r>
          </w:p>
          <w:p w14:paraId="5FE24DFB" w14:textId="77777777" w:rsidR="00FB31EB" w:rsidRPr="00F36DA2" w:rsidRDefault="00FB31EB" w:rsidP="00F64512">
            <w:pPr>
              <w:spacing w:after="0" w:line="240" w:lineRule="auto"/>
              <w:rPr>
                <w:rFonts w:asciiTheme="minorHAnsi" w:hAnsiTheme="minorHAnsi"/>
                <w:sz w:val="20"/>
              </w:rPr>
            </w:pPr>
            <w:r w:rsidRPr="00F36DA2">
              <w:rPr>
                <w:rFonts w:asciiTheme="minorHAnsi" w:hAnsiTheme="minorHAnsi"/>
                <w:sz w:val="20"/>
              </w:rPr>
              <w:t>MO = Morris Lake</w:t>
            </w:r>
          </w:p>
          <w:p w14:paraId="53CC4B44" w14:textId="77777777" w:rsidR="00FB31EB" w:rsidRPr="00F36DA2" w:rsidRDefault="00FB31EB" w:rsidP="00F64512">
            <w:pPr>
              <w:spacing w:after="0" w:line="240" w:lineRule="auto"/>
              <w:rPr>
                <w:rFonts w:asciiTheme="minorHAnsi" w:hAnsiTheme="minorHAnsi"/>
                <w:sz w:val="20"/>
              </w:rPr>
            </w:pPr>
            <w:r w:rsidRPr="00F36DA2">
              <w:rPr>
                <w:rFonts w:asciiTheme="minorHAnsi" w:hAnsiTheme="minorHAnsi"/>
                <w:sz w:val="20"/>
              </w:rPr>
              <w:t>NG = North Gate Bog</w:t>
            </w:r>
          </w:p>
          <w:p w14:paraId="45DEA967" w14:textId="7D6624A9" w:rsidR="00FB31EB" w:rsidRPr="00F36DA2" w:rsidRDefault="00FB31EB" w:rsidP="00F64512">
            <w:pPr>
              <w:spacing w:after="0" w:line="240" w:lineRule="auto"/>
              <w:rPr>
                <w:rFonts w:asciiTheme="minorHAnsi" w:hAnsiTheme="minorHAnsi"/>
                <w:sz w:val="20"/>
              </w:rPr>
            </w:pPr>
            <w:r w:rsidRPr="00F36DA2">
              <w:rPr>
                <w:rFonts w:asciiTheme="minorHAnsi" w:hAnsiTheme="minorHAnsi"/>
                <w:sz w:val="20"/>
              </w:rPr>
              <w:t>PA = Paul Lake</w:t>
            </w:r>
          </w:p>
          <w:p w14:paraId="60A90739" w14:textId="77777777" w:rsidR="00FB31EB" w:rsidRPr="00F36DA2" w:rsidRDefault="00FB31EB" w:rsidP="00F64512">
            <w:pPr>
              <w:spacing w:after="0" w:line="240" w:lineRule="auto"/>
              <w:rPr>
                <w:rFonts w:asciiTheme="minorHAnsi" w:hAnsiTheme="minorHAnsi"/>
                <w:sz w:val="20"/>
              </w:rPr>
            </w:pPr>
            <w:r w:rsidRPr="00F36DA2">
              <w:rPr>
                <w:rFonts w:asciiTheme="minorHAnsi" w:hAnsiTheme="minorHAnsi"/>
                <w:sz w:val="20"/>
              </w:rPr>
              <w:t>PE = Peter Lake</w:t>
            </w:r>
          </w:p>
          <w:p w14:paraId="654FBB04" w14:textId="5C3CC2D7" w:rsidR="00FB31EB" w:rsidRPr="00F36DA2" w:rsidRDefault="00FB31EB" w:rsidP="00F64512">
            <w:pPr>
              <w:spacing w:after="0" w:line="240" w:lineRule="auto"/>
              <w:rPr>
                <w:rFonts w:asciiTheme="minorHAnsi" w:hAnsiTheme="minorHAnsi"/>
                <w:sz w:val="20"/>
              </w:rPr>
            </w:pPr>
            <w:r w:rsidRPr="00F36DA2">
              <w:rPr>
                <w:rFonts w:asciiTheme="minorHAnsi" w:hAnsiTheme="minorHAnsi"/>
                <w:sz w:val="20"/>
              </w:rPr>
              <w:t>TU = Tuesday Lake</w:t>
            </w:r>
          </w:p>
          <w:p w14:paraId="40BB66E9" w14:textId="6C36A0F5" w:rsidR="00FB31EB" w:rsidRPr="00F36DA2" w:rsidRDefault="00FB31EB" w:rsidP="00F64512">
            <w:pPr>
              <w:spacing w:after="0" w:line="240" w:lineRule="auto"/>
              <w:rPr>
                <w:rFonts w:asciiTheme="minorHAnsi" w:hAnsiTheme="minorHAnsi"/>
                <w:b/>
                <w:sz w:val="20"/>
              </w:rPr>
            </w:pPr>
            <w:r w:rsidRPr="00F36DA2">
              <w:rPr>
                <w:rFonts w:asciiTheme="minorHAnsi" w:hAnsiTheme="minorHAnsi"/>
                <w:sz w:val="20"/>
              </w:rPr>
              <w:t>WL = West Long Lake</w:t>
            </w:r>
            <w:r w:rsidRPr="00F36DA2">
              <w:rPr>
                <w:rFonts w:asciiTheme="minorHAnsi" w:hAnsiTheme="minorHAnsi"/>
                <w:b/>
                <w:sz w:val="20"/>
              </w:rPr>
              <w:t xml:space="preserve"> </w:t>
            </w:r>
          </w:p>
        </w:tc>
        <w:tc>
          <w:tcPr>
            <w:tcW w:w="712" w:type="pct"/>
          </w:tcPr>
          <w:p w14:paraId="7067D554" w14:textId="6DF28F88" w:rsidR="001033D4" w:rsidRPr="00F36DA2" w:rsidRDefault="00FB31EB" w:rsidP="00F64512">
            <w:pPr>
              <w:spacing w:after="0" w:line="240" w:lineRule="auto"/>
              <w:rPr>
                <w:rFonts w:asciiTheme="minorHAnsi" w:hAnsiTheme="minorHAnsi"/>
                <w:sz w:val="20"/>
              </w:rPr>
            </w:pPr>
            <w:proofErr w:type="gramStart"/>
            <w:r w:rsidRPr="00F36DA2">
              <w:rPr>
                <w:rFonts w:asciiTheme="minorHAnsi" w:hAnsiTheme="minorHAnsi"/>
                <w:sz w:val="20"/>
              </w:rPr>
              <w:t>Two character</w:t>
            </w:r>
            <w:proofErr w:type="gramEnd"/>
            <w:r w:rsidRPr="00F36DA2">
              <w:rPr>
                <w:rFonts w:asciiTheme="minorHAnsi" w:hAnsiTheme="minorHAnsi"/>
                <w:sz w:val="20"/>
              </w:rPr>
              <w:t xml:space="preserve"> string </w:t>
            </w:r>
          </w:p>
        </w:tc>
        <w:tc>
          <w:tcPr>
            <w:tcW w:w="710" w:type="pct"/>
          </w:tcPr>
          <w:p w14:paraId="5A6FEBCE" w14:textId="69BD43D6" w:rsidR="001033D4" w:rsidRPr="00F36DA2" w:rsidRDefault="00FB31EB" w:rsidP="00F64512">
            <w:pPr>
              <w:spacing w:after="0" w:line="240" w:lineRule="auto"/>
              <w:rPr>
                <w:rFonts w:asciiTheme="minorHAnsi" w:hAnsiTheme="minorHAnsi"/>
                <w:sz w:val="20"/>
              </w:rPr>
            </w:pPr>
            <w:r w:rsidRPr="00F36DA2">
              <w:rPr>
                <w:rFonts w:asciiTheme="minorHAnsi" w:hAnsiTheme="minorHAnsi"/>
                <w:sz w:val="20"/>
              </w:rPr>
              <w:t>NA</w:t>
            </w:r>
          </w:p>
        </w:tc>
      </w:tr>
      <w:tr w:rsidR="00FB31EB" w:rsidRPr="0017567B" w14:paraId="1361CC88" w14:textId="77777777" w:rsidTr="00506BB6">
        <w:trPr>
          <w:trHeight w:val="300"/>
        </w:trPr>
        <w:tc>
          <w:tcPr>
            <w:tcW w:w="639" w:type="pct"/>
            <w:noWrap/>
          </w:tcPr>
          <w:p w14:paraId="6E2D1FBA" w14:textId="7DC2C886" w:rsidR="001033D4" w:rsidRPr="00F36DA2" w:rsidRDefault="00FB31EB" w:rsidP="00C705B7">
            <w:pPr>
              <w:spacing w:after="0" w:line="240" w:lineRule="auto"/>
              <w:rPr>
                <w:rFonts w:asciiTheme="minorHAnsi" w:hAnsiTheme="minorHAnsi"/>
                <w:sz w:val="20"/>
              </w:rPr>
            </w:pPr>
            <w:proofErr w:type="spellStart"/>
            <w:r w:rsidRPr="00F36DA2">
              <w:rPr>
                <w:rFonts w:asciiTheme="minorHAnsi" w:hAnsiTheme="minorHAnsi"/>
                <w:sz w:val="20"/>
              </w:rPr>
              <w:t>chlA</w:t>
            </w:r>
            <w:proofErr w:type="spellEnd"/>
          </w:p>
        </w:tc>
        <w:tc>
          <w:tcPr>
            <w:tcW w:w="920" w:type="pct"/>
          </w:tcPr>
          <w:p w14:paraId="542701F4" w14:textId="316A97A6" w:rsidR="001033D4" w:rsidRPr="00F36DA2" w:rsidRDefault="00FB31EB" w:rsidP="00C705B7">
            <w:pPr>
              <w:spacing w:after="0" w:line="240" w:lineRule="auto"/>
              <w:rPr>
                <w:rFonts w:asciiTheme="minorHAnsi" w:hAnsiTheme="minorHAnsi"/>
                <w:sz w:val="20"/>
              </w:rPr>
            </w:pPr>
            <w:r w:rsidRPr="00F36DA2">
              <w:rPr>
                <w:rFonts w:asciiTheme="minorHAnsi" w:hAnsiTheme="minorHAnsi"/>
                <w:sz w:val="20"/>
              </w:rPr>
              <w:t xml:space="preserve">Concentration of chlorophyll a in epilimnion </w:t>
            </w:r>
          </w:p>
        </w:tc>
        <w:tc>
          <w:tcPr>
            <w:tcW w:w="757" w:type="pct"/>
          </w:tcPr>
          <w:p w14:paraId="7782D051" w14:textId="344FDE3A" w:rsidR="001033D4" w:rsidRPr="00F36DA2" w:rsidRDefault="00FB31EB" w:rsidP="00C705B7">
            <w:pPr>
              <w:spacing w:after="0" w:line="240" w:lineRule="auto"/>
              <w:rPr>
                <w:rFonts w:asciiTheme="minorHAnsi" w:hAnsiTheme="minorHAnsi"/>
                <w:sz w:val="20"/>
              </w:rPr>
            </w:pPr>
            <w:r w:rsidRPr="00F36DA2">
              <w:rPr>
                <w:rFonts w:asciiTheme="minorHAnsi" w:hAnsiTheme="minorHAnsi"/>
                <w:sz w:val="20"/>
              </w:rPr>
              <w:t>Micro grams per liter</w:t>
            </w:r>
          </w:p>
        </w:tc>
        <w:tc>
          <w:tcPr>
            <w:tcW w:w="1262" w:type="pct"/>
          </w:tcPr>
          <w:p w14:paraId="707EBC18" w14:textId="4FADA68B" w:rsidR="001033D4" w:rsidRPr="00F36DA2" w:rsidRDefault="00FB31EB" w:rsidP="00C705B7">
            <w:pPr>
              <w:spacing w:after="0" w:line="240" w:lineRule="auto"/>
              <w:rPr>
                <w:rFonts w:asciiTheme="minorHAnsi" w:hAnsiTheme="minorHAnsi"/>
                <w:sz w:val="20"/>
              </w:rPr>
            </w:pPr>
            <w:r w:rsidRPr="00F36DA2">
              <w:rPr>
                <w:rFonts w:asciiTheme="minorHAnsi" w:hAnsiTheme="minorHAnsi"/>
                <w:sz w:val="20"/>
              </w:rPr>
              <w:t>NA</w:t>
            </w:r>
          </w:p>
        </w:tc>
        <w:tc>
          <w:tcPr>
            <w:tcW w:w="712" w:type="pct"/>
          </w:tcPr>
          <w:p w14:paraId="4902CA8C" w14:textId="4E97B3AA" w:rsidR="001033D4" w:rsidRPr="00F36DA2" w:rsidRDefault="00FB31EB" w:rsidP="00C705B7">
            <w:pPr>
              <w:spacing w:after="0" w:line="240" w:lineRule="auto"/>
              <w:rPr>
                <w:rFonts w:asciiTheme="minorHAnsi" w:hAnsiTheme="minorHAnsi"/>
                <w:sz w:val="20"/>
              </w:rPr>
            </w:pPr>
            <w:r w:rsidRPr="00F36DA2">
              <w:rPr>
                <w:rFonts w:asciiTheme="minorHAnsi" w:hAnsiTheme="minorHAnsi"/>
                <w:sz w:val="20"/>
              </w:rPr>
              <w:t xml:space="preserve">Numeric </w:t>
            </w:r>
          </w:p>
        </w:tc>
        <w:tc>
          <w:tcPr>
            <w:tcW w:w="710" w:type="pct"/>
          </w:tcPr>
          <w:p w14:paraId="0B213102" w14:textId="68A49CC3" w:rsidR="001033D4" w:rsidRPr="00F36DA2" w:rsidRDefault="00FB31EB" w:rsidP="00C705B7">
            <w:pPr>
              <w:spacing w:after="0" w:line="240" w:lineRule="auto"/>
              <w:rPr>
                <w:rFonts w:asciiTheme="minorHAnsi" w:hAnsiTheme="minorHAnsi"/>
                <w:sz w:val="20"/>
              </w:rPr>
            </w:pPr>
            <w:r w:rsidRPr="00F36DA2">
              <w:rPr>
                <w:rFonts w:asciiTheme="minorHAnsi" w:hAnsiTheme="minorHAnsi"/>
                <w:sz w:val="20"/>
              </w:rPr>
              <w:t>NA</w:t>
            </w:r>
          </w:p>
        </w:tc>
      </w:tr>
      <w:tr w:rsidR="00FB31EB" w:rsidRPr="0017567B" w14:paraId="6D084A90" w14:textId="77777777" w:rsidTr="00506BB6">
        <w:trPr>
          <w:trHeight w:val="300"/>
        </w:trPr>
        <w:tc>
          <w:tcPr>
            <w:tcW w:w="639" w:type="pct"/>
            <w:noWrap/>
          </w:tcPr>
          <w:p w14:paraId="29F036BA" w14:textId="11ECEDFB" w:rsidR="001033D4" w:rsidRPr="00F36DA2" w:rsidRDefault="00FB31EB" w:rsidP="00C705B7">
            <w:pPr>
              <w:spacing w:after="0" w:line="240" w:lineRule="auto"/>
              <w:rPr>
                <w:rFonts w:asciiTheme="minorHAnsi" w:hAnsiTheme="minorHAnsi"/>
                <w:sz w:val="20"/>
              </w:rPr>
            </w:pPr>
            <w:r w:rsidRPr="00F36DA2">
              <w:rPr>
                <w:rFonts w:asciiTheme="minorHAnsi" w:hAnsiTheme="minorHAnsi"/>
                <w:sz w:val="20"/>
              </w:rPr>
              <w:t>pH</w:t>
            </w:r>
          </w:p>
        </w:tc>
        <w:tc>
          <w:tcPr>
            <w:tcW w:w="920" w:type="pct"/>
          </w:tcPr>
          <w:p w14:paraId="7F7055AF" w14:textId="353A0031" w:rsidR="001033D4" w:rsidRPr="00F36DA2" w:rsidRDefault="00FB31EB" w:rsidP="00C705B7">
            <w:pPr>
              <w:spacing w:after="0" w:line="240" w:lineRule="auto"/>
              <w:rPr>
                <w:rFonts w:asciiTheme="minorHAnsi" w:hAnsiTheme="minorHAnsi"/>
                <w:sz w:val="20"/>
              </w:rPr>
            </w:pPr>
            <w:r w:rsidRPr="00F36DA2">
              <w:rPr>
                <w:rFonts w:asciiTheme="minorHAnsi" w:hAnsiTheme="minorHAnsi"/>
                <w:sz w:val="20"/>
              </w:rPr>
              <w:t>pH at the sediment-water interface</w:t>
            </w:r>
          </w:p>
        </w:tc>
        <w:tc>
          <w:tcPr>
            <w:tcW w:w="757" w:type="pct"/>
          </w:tcPr>
          <w:p w14:paraId="13940BCB" w14:textId="0E9003A4" w:rsidR="001033D4" w:rsidRPr="00F36DA2" w:rsidRDefault="00FB31EB" w:rsidP="00C705B7">
            <w:pPr>
              <w:spacing w:after="0" w:line="240" w:lineRule="auto"/>
              <w:rPr>
                <w:rFonts w:asciiTheme="minorHAnsi" w:hAnsiTheme="minorHAnsi"/>
                <w:sz w:val="20"/>
              </w:rPr>
            </w:pPr>
            <w:r w:rsidRPr="00F36DA2">
              <w:rPr>
                <w:rFonts w:asciiTheme="minorHAnsi" w:hAnsiTheme="minorHAnsi"/>
                <w:sz w:val="20"/>
              </w:rPr>
              <w:t>NA</w:t>
            </w:r>
          </w:p>
        </w:tc>
        <w:tc>
          <w:tcPr>
            <w:tcW w:w="1262" w:type="pct"/>
          </w:tcPr>
          <w:p w14:paraId="31952FE8" w14:textId="0C14FCF2" w:rsidR="001033D4" w:rsidRPr="00F36DA2" w:rsidRDefault="00FB31EB" w:rsidP="00C705B7">
            <w:pPr>
              <w:spacing w:after="0" w:line="240" w:lineRule="auto"/>
              <w:rPr>
                <w:rFonts w:asciiTheme="minorHAnsi" w:hAnsiTheme="minorHAnsi"/>
                <w:sz w:val="20"/>
              </w:rPr>
            </w:pPr>
            <w:r w:rsidRPr="00F36DA2">
              <w:rPr>
                <w:rFonts w:asciiTheme="minorHAnsi" w:hAnsiTheme="minorHAnsi"/>
                <w:sz w:val="20"/>
              </w:rPr>
              <w:t>NA</w:t>
            </w:r>
          </w:p>
        </w:tc>
        <w:tc>
          <w:tcPr>
            <w:tcW w:w="712" w:type="pct"/>
          </w:tcPr>
          <w:p w14:paraId="435BA3DC" w14:textId="4BFD8B76" w:rsidR="001033D4" w:rsidRPr="00F36DA2" w:rsidRDefault="00FB31EB" w:rsidP="00C705B7">
            <w:pPr>
              <w:spacing w:after="0" w:line="240" w:lineRule="auto"/>
              <w:rPr>
                <w:rFonts w:asciiTheme="minorHAnsi" w:hAnsiTheme="minorHAnsi"/>
                <w:sz w:val="20"/>
              </w:rPr>
            </w:pPr>
            <w:r w:rsidRPr="00F36DA2">
              <w:rPr>
                <w:rFonts w:asciiTheme="minorHAnsi" w:hAnsiTheme="minorHAnsi"/>
                <w:sz w:val="20"/>
              </w:rPr>
              <w:t>Numeric</w:t>
            </w:r>
          </w:p>
        </w:tc>
        <w:tc>
          <w:tcPr>
            <w:tcW w:w="710" w:type="pct"/>
          </w:tcPr>
          <w:p w14:paraId="2DA9FAD3" w14:textId="417C8953" w:rsidR="001033D4" w:rsidRPr="00F36DA2" w:rsidRDefault="00FB31EB" w:rsidP="00C705B7">
            <w:pPr>
              <w:spacing w:after="0" w:line="240" w:lineRule="auto"/>
              <w:rPr>
                <w:rFonts w:asciiTheme="minorHAnsi" w:hAnsiTheme="minorHAnsi"/>
                <w:sz w:val="20"/>
              </w:rPr>
            </w:pPr>
            <w:r w:rsidRPr="00F36DA2">
              <w:rPr>
                <w:rFonts w:asciiTheme="minorHAnsi" w:hAnsiTheme="minorHAnsi"/>
                <w:sz w:val="20"/>
              </w:rPr>
              <w:t>NA</w:t>
            </w:r>
          </w:p>
        </w:tc>
      </w:tr>
      <w:tr w:rsidR="00FB31EB" w:rsidRPr="0017567B" w14:paraId="61B1F2F0" w14:textId="77777777" w:rsidTr="00506BB6">
        <w:trPr>
          <w:trHeight w:val="300"/>
        </w:trPr>
        <w:tc>
          <w:tcPr>
            <w:tcW w:w="639" w:type="pct"/>
            <w:noWrap/>
          </w:tcPr>
          <w:p w14:paraId="72217550" w14:textId="7048D84D" w:rsidR="001033D4" w:rsidRPr="00F36DA2" w:rsidRDefault="00FB31EB" w:rsidP="00C705B7">
            <w:pPr>
              <w:spacing w:after="0" w:line="240" w:lineRule="auto"/>
              <w:rPr>
                <w:rFonts w:asciiTheme="minorHAnsi" w:hAnsiTheme="minorHAnsi"/>
                <w:sz w:val="20"/>
              </w:rPr>
            </w:pPr>
            <w:r w:rsidRPr="00F36DA2">
              <w:rPr>
                <w:rFonts w:asciiTheme="minorHAnsi" w:hAnsiTheme="minorHAnsi"/>
                <w:sz w:val="20"/>
              </w:rPr>
              <w:t xml:space="preserve">TN </w:t>
            </w:r>
          </w:p>
        </w:tc>
        <w:tc>
          <w:tcPr>
            <w:tcW w:w="920" w:type="pct"/>
          </w:tcPr>
          <w:p w14:paraId="089E79C6" w14:textId="67634527" w:rsidR="001033D4" w:rsidRPr="00F36DA2" w:rsidRDefault="00FB31EB" w:rsidP="00C705B7">
            <w:pPr>
              <w:spacing w:after="0" w:line="240" w:lineRule="auto"/>
              <w:rPr>
                <w:rFonts w:asciiTheme="minorHAnsi" w:hAnsiTheme="minorHAnsi"/>
                <w:sz w:val="20"/>
              </w:rPr>
            </w:pPr>
            <w:r w:rsidRPr="00F36DA2">
              <w:rPr>
                <w:rFonts w:asciiTheme="minorHAnsi" w:hAnsiTheme="minorHAnsi"/>
                <w:sz w:val="20"/>
              </w:rPr>
              <w:t xml:space="preserve">Concentration of sediment porewater total nitrogen </w:t>
            </w:r>
          </w:p>
        </w:tc>
        <w:tc>
          <w:tcPr>
            <w:tcW w:w="757" w:type="pct"/>
          </w:tcPr>
          <w:p w14:paraId="42B25036" w14:textId="70D1DA0E" w:rsidR="001033D4" w:rsidRPr="00F36DA2" w:rsidRDefault="00FB31EB" w:rsidP="00C705B7">
            <w:pPr>
              <w:spacing w:after="0" w:line="240" w:lineRule="auto"/>
              <w:rPr>
                <w:rFonts w:asciiTheme="minorHAnsi" w:hAnsiTheme="minorHAnsi"/>
                <w:sz w:val="20"/>
              </w:rPr>
            </w:pPr>
            <w:r w:rsidRPr="00F36DA2">
              <w:rPr>
                <w:rFonts w:asciiTheme="minorHAnsi" w:hAnsiTheme="minorHAnsi"/>
                <w:sz w:val="20"/>
              </w:rPr>
              <w:t xml:space="preserve">Micro grams per liter </w:t>
            </w:r>
          </w:p>
        </w:tc>
        <w:tc>
          <w:tcPr>
            <w:tcW w:w="1262" w:type="pct"/>
          </w:tcPr>
          <w:p w14:paraId="4DBBF2B2" w14:textId="51E9D6B4" w:rsidR="001033D4" w:rsidRPr="00F36DA2" w:rsidRDefault="00FB31EB" w:rsidP="00C705B7">
            <w:pPr>
              <w:spacing w:after="0" w:line="240" w:lineRule="auto"/>
              <w:rPr>
                <w:rFonts w:asciiTheme="minorHAnsi" w:hAnsiTheme="minorHAnsi"/>
                <w:sz w:val="20"/>
              </w:rPr>
            </w:pPr>
            <w:r w:rsidRPr="00F36DA2">
              <w:rPr>
                <w:rFonts w:asciiTheme="minorHAnsi" w:hAnsiTheme="minorHAnsi"/>
                <w:sz w:val="20"/>
              </w:rPr>
              <w:t>NA</w:t>
            </w:r>
          </w:p>
        </w:tc>
        <w:tc>
          <w:tcPr>
            <w:tcW w:w="712" w:type="pct"/>
          </w:tcPr>
          <w:p w14:paraId="3E5A70A7" w14:textId="1BDDE9A9" w:rsidR="001033D4" w:rsidRPr="00F36DA2" w:rsidRDefault="00FB31EB" w:rsidP="00C705B7">
            <w:pPr>
              <w:spacing w:after="0" w:line="240" w:lineRule="auto"/>
              <w:rPr>
                <w:rFonts w:asciiTheme="minorHAnsi" w:hAnsiTheme="minorHAnsi"/>
                <w:sz w:val="20"/>
              </w:rPr>
            </w:pPr>
            <w:r w:rsidRPr="00F36DA2">
              <w:rPr>
                <w:rFonts w:asciiTheme="minorHAnsi" w:hAnsiTheme="minorHAnsi"/>
                <w:sz w:val="20"/>
              </w:rPr>
              <w:t xml:space="preserve">Numeric </w:t>
            </w:r>
          </w:p>
        </w:tc>
        <w:tc>
          <w:tcPr>
            <w:tcW w:w="710" w:type="pct"/>
          </w:tcPr>
          <w:p w14:paraId="2EA09647" w14:textId="2BD84807" w:rsidR="001033D4" w:rsidRPr="00F36DA2" w:rsidRDefault="00FB31EB" w:rsidP="00C705B7">
            <w:pPr>
              <w:spacing w:after="0" w:line="240" w:lineRule="auto"/>
              <w:rPr>
                <w:rFonts w:asciiTheme="minorHAnsi" w:hAnsiTheme="minorHAnsi"/>
                <w:sz w:val="20"/>
              </w:rPr>
            </w:pPr>
            <w:r w:rsidRPr="00F36DA2">
              <w:rPr>
                <w:rFonts w:asciiTheme="minorHAnsi" w:hAnsiTheme="minorHAnsi"/>
                <w:sz w:val="20"/>
              </w:rPr>
              <w:t>NA</w:t>
            </w:r>
          </w:p>
        </w:tc>
      </w:tr>
      <w:tr w:rsidR="00FB31EB" w:rsidRPr="0017567B" w14:paraId="19B9E6C7" w14:textId="77777777" w:rsidTr="00506BB6">
        <w:trPr>
          <w:trHeight w:val="300"/>
        </w:trPr>
        <w:tc>
          <w:tcPr>
            <w:tcW w:w="639" w:type="pct"/>
            <w:noWrap/>
          </w:tcPr>
          <w:p w14:paraId="132374F2" w14:textId="42CB2B8C" w:rsidR="00FB31EB" w:rsidRPr="00F36DA2" w:rsidRDefault="00FB31EB" w:rsidP="00FB31EB">
            <w:pPr>
              <w:spacing w:after="0" w:line="240" w:lineRule="auto"/>
              <w:rPr>
                <w:rFonts w:asciiTheme="minorHAnsi" w:hAnsiTheme="minorHAnsi"/>
                <w:sz w:val="20"/>
              </w:rPr>
            </w:pPr>
            <w:r w:rsidRPr="00F36DA2">
              <w:rPr>
                <w:rFonts w:asciiTheme="minorHAnsi" w:hAnsiTheme="minorHAnsi"/>
                <w:sz w:val="20"/>
              </w:rPr>
              <w:t>TP</w:t>
            </w:r>
          </w:p>
        </w:tc>
        <w:tc>
          <w:tcPr>
            <w:tcW w:w="920" w:type="pct"/>
          </w:tcPr>
          <w:p w14:paraId="524A10D3" w14:textId="2441A296" w:rsidR="00FB31EB" w:rsidRPr="00F36DA2" w:rsidRDefault="00FB31EB" w:rsidP="00FB31EB">
            <w:pPr>
              <w:spacing w:after="0" w:line="240" w:lineRule="auto"/>
              <w:rPr>
                <w:rFonts w:asciiTheme="minorHAnsi" w:hAnsiTheme="minorHAnsi"/>
                <w:sz w:val="20"/>
              </w:rPr>
            </w:pPr>
            <w:r w:rsidRPr="00F36DA2">
              <w:rPr>
                <w:rFonts w:asciiTheme="minorHAnsi" w:hAnsiTheme="minorHAnsi"/>
                <w:sz w:val="20"/>
              </w:rPr>
              <w:t xml:space="preserve">Concentration of sediment porewater total phosphorus </w:t>
            </w:r>
          </w:p>
        </w:tc>
        <w:tc>
          <w:tcPr>
            <w:tcW w:w="757" w:type="pct"/>
          </w:tcPr>
          <w:p w14:paraId="7E744F3B" w14:textId="6F871BEE" w:rsidR="00FB31EB" w:rsidRPr="00F36DA2" w:rsidRDefault="00FB31EB" w:rsidP="00FB31EB">
            <w:pPr>
              <w:spacing w:after="0" w:line="240" w:lineRule="auto"/>
              <w:rPr>
                <w:rFonts w:asciiTheme="minorHAnsi" w:hAnsiTheme="minorHAnsi"/>
                <w:sz w:val="20"/>
              </w:rPr>
            </w:pPr>
            <w:r w:rsidRPr="00F36DA2">
              <w:rPr>
                <w:rFonts w:asciiTheme="minorHAnsi" w:hAnsiTheme="minorHAnsi"/>
                <w:sz w:val="20"/>
              </w:rPr>
              <w:t xml:space="preserve">Micro grams per liter </w:t>
            </w:r>
          </w:p>
        </w:tc>
        <w:tc>
          <w:tcPr>
            <w:tcW w:w="1262" w:type="pct"/>
          </w:tcPr>
          <w:p w14:paraId="4F108FCE" w14:textId="2D47735F" w:rsidR="00FB31EB" w:rsidRPr="00F36DA2" w:rsidRDefault="00FB31EB" w:rsidP="00FB31EB">
            <w:pPr>
              <w:spacing w:after="0" w:line="240" w:lineRule="auto"/>
              <w:rPr>
                <w:rFonts w:asciiTheme="minorHAnsi" w:hAnsiTheme="minorHAnsi"/>
                <w:sz w:val="20"/>
              </w:rPr>
            </w:pPr>
            <w:r w:rsidRPr="00F36DA2">
              <w:rPr>
                <w:rFonts w:asciiTheme="minorHAnsi" w:hAnsiTheme="minorHAnsi"/>
                <w:sz w:val="20"/>
              </w:rPr>
              <w:t>NA</w:t>
            </w:r>
          </w:p>
        </w:tc>
        <w:tc>
          <w:tcPr>
            <w:tcW w:w="712" w:type="pct"/>
          </w:tcPr>
          <w:p w14:paraId="4969B7F7" w14:textId="2921CB5F" w:rsidR="00FB31EB" w:rsidRPr="00F36DA2" w:rsidRDefault="00FB31EB" w:rsidP="00FB31EB">
            <w:pPr>
              <w:spacing w:after="0" w:line="240" w:lineRule="auto"/>
              <w:rPr>
                <w:rFonts w:asciiTheme="minorHAnsi" w:hAnsiTheme="minorHAnsi"/>
                <w:sz w:val="20"/>
              </w:rPr>
            </w:pPr>
            <w:r w:rsidRPr="00F36DA2">
              <w:rPr>
                <w:rFonts w:asciiTheme="minorHAnsi" w:hAnsiTheme="minorHAnsi"/>
                <w:sz w:val="20"/>
              </w:rPr>
              <w:t xml:space="preserve">Numeric </w:t>
            </w:r>
          </w:p>
        </w:tc>
        <w:tc>
          <w:tcPr>
            <w:tcW w:w="710" w:type="pct"/>
          </w:tcPr>
          <w:p w14:paraId="77C3484F" w14:textId="1083B669" w:rsidR="00FB31EB" w:rsidRPr="00F36DA2" w:rsidRDefault="00FB31EB" w:rsidP="00FB31EB">
            <w:pPr>
              <w:spacing w:after="0" w:line="240" w:lineRule="auto"/>
              <w:rPr>
                <w:rFonts w:asciiTheme="minorHAnsi" w:hAnsiTheme="minorHAnsi"/>
                <w:sz w:val="20"/>
              </w:rPr>
            </w:pPr>
            <w:r w:rsidRPr="00F36DA2">
              <w:rPr>
                <w:rFonts w:asciiTheme="minorHAnsi" w:hAnsiTheme="minorHAnsi"/>
                <w:sz w:val="20"/>
              </w:rPr>
              <w:t>NA</w:t>
            </w:r>
          </w:p>
        </w:tc>
      </w:tr>
      <w:tr w:rsidR="00FB31EB" w:rsidRPr="0017567B" w14:paraId="4751C66F" w14:textId="77777777" w:rsidTr="00506BB6">
        <w:trPr>
          <w:trHeight w:val="300"/>
        </w:trPr>
        <w:tc>
          <w:tcPr>
            <w:tcW w:w="639" w:type="pct"/>
            <w:noWrap/>
          </w:tcPr>
          <w:p w14:paraId="294B10F9" w14:textId="7A5A5734" w:rsidR="00FB31EB" w:rsidRPr="00F36DA2" w:rsidRDefault="00FB31EB" w:rsidP="00FB31EB">
            <w:pPr>
              <w:spacing w:after="0" w:line="240" w:lineRule="auto"/>
              <w:rPr>
                <w:rFonts w:asciiTheme="minorHAnsi" w:hAnsiTheme="minorHAnsi"/>
                <w:sz w:val="20"/>
              </w:rPr>
            </w:pPr>
            <w:proofErr w:type="spellStart"/>
            <w:r w:rsidRPr="00F36DA2">
              <w:rPr>
                <w:rFonts w:asciiTheme="minorHAnsi" w:hAnsiTheme="minorHAnsi"/>
                <w:sz w:val="20"/>
              </w:rPr>
              <w:t>OMperc</w:t>
            </w:r>
            <w:proofErr w:type="spellEnd"/>
          </w:p>
        </w:tc>
        <w:tc>
          <w:tcPr>
            <w:tcW w:w="920" w:type="pct"/>
          </w:tcPr>
          <w:p w14:paraId="3FD6F0A1" w14:textId="37D8B093" w:rsidR="00FB31EB" w:rsidRPr="00F36DA2" w:rsidRDefault="00FB31EB" w:rsidP="00FB31EB">
            <w:pPr>
              <w:spacing w:after="0" w:line="240" w:lineRule="auto"/>
              <w:rPr>
                <w:rFonts w:asciiTheme="minorHAnsi" w:hAnsiTheme="minorHAnsi"/>
                <w:sz w:val="20"/>
              </w:rPr>
            </w:pPr>
            <w:r w:rsidRPr="00F36DA2">
              <w:rPr>
                <w:rFonts w:asciiTheme="minorHAnsi" w:hAnsiTheme="minorHAnsi"/>
                <w:sz w:val="20"/>
              </w:rPr>
              <w:t>Percent organic matter of sediments</w:t>
            </w:r>
          </w:p>
        </w:tc>
        <w:tc>
          <w:tcPr>
            <w:tcW w:w="757" w:type="pct"/>
          </w:tcPr>
          <w:p w14:paraId="33DA37F7" w14:textId="0704E7D4" w:rsidR="00FB31EB" w:rsidRPr="00F36DA2" w:rsidRDefault="00FB31EB" w:rsidP="00FB31EB">
            <w:pPr>
              <w:spacing w:after="0" w:line="240" w:lineRule="auto"/>
              <w:rPr>
                <w:rFonts w:asciiTheme="minorHAnsi" w:hAnsiTheme="minorHAnsi"/>
                <w:sz w:val="20"/>
              </w:rPr>
            </w:pPr>
            <w:r w:rsidRPr="00F36DA2">
              <w:rPr>
                <w:rFonts w:asciiTheme="minorHAnsi" w:hAnsiTheme="minorHAnsi"/>
                <w:sz w:val="20"/>
              </w:rPr>
              <w:t>Mass percentage</w:t>
            </w:r>
          </w:p>
        </w:tc>
        <w:tc>
          <w:tcPr>
            <w:tcW w:w="1262" w:type="pct"/>
          </w:tcPr>
          <w:p w14:paraId="55A1D2A6" w14:textId="102DB6EC" w:rsidR="00FB31EB" w:rsidRPr="00F36DA2" w:rsidRDefault="00FB31EB" w:rsidP="00FB31EB">
            <w:pPr>
              <w:spacing w:after="0" w:line="240" w:lineRule="auto"/>
              <w:rPr>
                <w:rFonts w:asciiTheme="minorHAnsi" w:hAnsiTheme="minorHAnsi"/>
                <w:sz w:val="20"/>
              </w:rPr>
            </w:pPr>
            <w:r w:rsidRPr="00F36DA2">
              <w:rPr>
                <w:rFonts w:asciiTheme="minorHAnsi" w:hAnsiTheme="minorHAnsi"/>
                <w:sz w:val="20"/>
              </w:rPr>
              <w:t>NA</w:t>
            </w:r>
          </w:p>
        </w:tc>
        <w:tc>
          <w:tcPr>
            <w:tcW w:w="712" w:type="pct"/>
          </w:tcPr>
          <w:p w14:paraId="3C1B14EE" w14:textId="12D33224" w:rsidR="00FB31EB" w:rsidRPr="00F36DA2" w:rsidRDefault="00FB31EB" w:rsidP="00FB31EB">
            <w:pPr>
              <w:spacing w:after="0" w:line="240" w:lineRule="auto"/>
              <w:rPr>
                <w:rFonts w:asciiTheme="minorHAnsi" w:hAnsiTheme="minorHAnsi"/>
                <w:sz w:val="20"/>
              </w:rPr>
            </w:pPr>
            <w:r w:rsidRPr="00F36DA2">
              <w:rPr>
                <w:rFonts w:asciiTheme="minorHAnsi" w:hAnsiTheme="minorHAnsi"/>
                <w:sz w:val="20"/>
              </w:rPr>
              <w:t>Numeric</w:t>
            </w:r>
          </w:p>
        </w:tc>
        <w:tc>
          <w:tcPr>
            <w:tcW w:w="710" w:type="pct"/>
          </w:tcPr>
          <w:p w14:paraId="75FEB424" w14:textId="24C43372" w:rsidR="00FB31EB" w:rsidRPr="00F36DA2" w:rsidRDefault="00FB31EB" w:rsidP="00FB31EB">
            <w:pPr>
              <w:spacing w:after="0" w:line="240" w:lineRule="auto"/>
              <w:rPr>
                <w:rFonts w:asciiTheme="minorHAnsi" w:hAnsiTheme="minorHAnsi"/>
                <w:sz w:val="20"/>
              </w:rPr>
            </w:pPr>
            <w:r w:rsidRPr="00F36DA2">
              <w:rPr>
                <w:rFonts w:asciiTheme="minorHAnsi" w:hAnsiTheme="minorHAnsi"/>
                <w:sz w:val="20"/>
              </w:rPr>
              <w:t>NA</w:t>
            </w:r>
          </w:p>
        </w:tc>
      </w:tr>
      <w:tr w:rsidR="00FB31EB" w:rsidRPr="0017567B" w14:paraId="39DF3EDB" w14:textId="77777777" w:rsidTr="00506BB6">
        <w:trPr>
          <w:trHeight w:val="300"/>
        </w:trPr>
        <w:tc>
          <w:tcPr>
            <w:tcW w:w="639" w:type="pct"/>
            <w:noWrap/>
          </w:tcPr>
          <w:p w14:paraId="1A9921F1" w14:textId="65B9AFA2" w:rsidR="00FB31EB" w:rsidRPr="00F36DA2" w:rsidRDefault="00FB31EB" w:rsidP="00FB31EB">
            <w:pPr>
              <w:spacing w:after="0" w:line="240" w:lineRule="auto"/>
              <w:rPr>
                <w:rFonts w:asciiTheme="minorHAnsi" w:hAnsiTheme="minorHAnsi"/>
                <w:sz w:val="20"/>
              </w:rPr>
            </w:pPr>
            <w:r w:rsidRPr="00F36DA2">
              <w:rPr>
                <w:rFonts w:asciiTheme="minorHAnsi" w:hAnsiTheme="minorHAnsi"/>
                <w:sz w:val="20"/>
              </w:rPr>
              <w:t>CH4prod</w:t>
            </w:r>
          </w:p>
        </w:tc>
        <w:tc>
          <w:tcPr>
            <w:tcW w:w="920" w:type="pct"/>
          </w:tcPr>
          <w:p w14:paraId="7FB7EAB8" w14:textId="60F204AC" w:rsidR="00FB31EB" w:rsidRPr="00F36DA2" w:rsidRDefault="00FB31EB" w:rsidP="00FB31EB">
            <w:pPr>
              <w:spacing w:after="0" w:line="240" w:lineRule="auto"/>
              <w:rPr>
                <w:rFonts w:asciiTheme="minorHAnsi" w:hAnsiTheme="minorHAnsi"/>
                <w:sz w:val="20"/>
              </w:rPr>
            </w:pPr>
            <w:r w:rsidRPr="00F36DA2">
              <w:rPr>
                <w:rFonts w:asciiTheme="minorHAnsi" w:hAnsiTheme="minorHAnsi"/>
                <w:sz w:val="20"/>
              </w:rPr>
              <w:t xml:space="preserve">Rate of potential methanogenesis from sediments </w:t>
            </w:r>
          </w:p>
        </w:tc>
        <w:tc>
          <w:tcPr>
            <w:tcW w:w="757" w:type="pct"/>
          </w:tcPr>
          <w:p w14:paraId="4DB4A2AF" w14:textId="1669301A" w:rsidR="00FB31EB" w:rsidRPr="00F36DA2" w:rsidRDefault="00FB31EB" w:rsidP="00FB31EB">
            <w:pPr>
              <w:spacing w:after="0" w:line="240" w:lineRule="auto"/>
              <w:rPr>
                <w:rFonts w:asciiTheme="minorHAnsi" w:hAnsiTheme="minorHAnsi"/>
                <w:sz w:val="20"/>
              </w:rPr>
            </w:pPr>
            <w:r w:rsidRPr="00F36DA2">
              <w:rPr>
                <w:rFonts w:asciiTheme="minorHAnsi" w:hAnsiTheme="minorHAnsi"/>
                <w:sz w:val="20"/>
              </w:rPr>
              <w:t>Micro moles per meter squared per day</w:t>
            </w:r>
          </w:p>
        </w:tc>
        <w:tc>
          <w:tcPr>
            <w:tcW w:w="1262" w:type="pct"/>
          </w:tcPr>
          <w:p w14:paraId="25D1E792" w14:textId="76CB630B" w:rsidR="00FB31EB" w:rsidRPr="00F36DA2" w:rsidRDefault="00FB31EB" w:rsidP="00FB31EB">
            <w:pPr>
              <w:spacing w:after="0" w:line="240" w:lineRule="auto"/>
              <w:rPr>
                <w:rFonts w:asciiTheme="minorHAnsi" w:hAnsiTheme="minorHAnsi"/>
                <w:sz w:val="20"/>
              </w:rPr>
            </w:pPr>
            <w:r w:rsidRPr="00F36DA2">
              <w:rPr>
                <w:rFonts w:asciiTheme="minorHAnsi" w:hAnsiTheme="minorHAnsi"/>
                <w:sz w:val="20"/>
              </w:rPr>
              <w:t>NA</w:t>
            </w:r>
          </w:p>
        </w:tc>
        <w:tc>
          <w:tcPr>
            <w:tcW w:w="712" w:type="pct"/>
          </w:tcPr>
          <w:p w14:paraId="00AD9745" w14:textId="0E951A29" w:rsidR="00FB31EB" w:rsidRPr="00F36DA2" w:rsidRDefault="00FB31EB" w:rsidP="00FB31EB">
            <w:pPr>
              <w:spacing w:after="0" w:line="240" w:lineRule="auto"/>
              <w:rPr>
                <w:rFonts w:asciiTheme="minorHAnsi" w:hAnsiTheme="minorHAnsi"/>
                <w:sz w:val="20"/>
              </w:rPr>
            </w:pPr>
            <w:r w:rsidRPr="00F36DA2">
              <w:rPr>
                <w:rFonts w:asciiTheme="minorHAnsi" w:hAnsiTheme="minorHAnsi"/>
                <w:sz w:val="20"/>
              </w:rPr>
              <w:t>Numeric</w:t>
            </w:r>
          </w:p>
        </w:tc>
        <w:tc>
          <w:tcPr>
            <w:tcW w:w="710" w:type="pct"/>
          </w:tcPr>
          <w:p w14:paraId="1E90F3A2" w14:textId="2D29AEF3" w:rsidR="00FB31EB" w:rsidRPr="00F36DA2" w:rsidRDefault="00FB31EB" w:rsidP="00FB31EB">
            <w:pPr>
              <w:spacing w:after="0" w:line="240" w:lineRule="auto"/>
              <w:rPr>
                <w:rFonts w:asciiTheme="minorHAnsi" w:hAnsiTheme="minorHAnsi"/>
                <w:sz w:val="20"/>
              </w:rPr>
            </w:pPr>
            <w:r w:rsidRPr="00F36DA2">
              <w:rPr>
                <w:rFonts w:asciiTheme="minorHAnsi" w:hAnsiTheme="minorHAnsi"/>
                <w:sz w:val="20"/>
              </w:rPr>
              <w:t>NA</w:t>
            </w:r>
          </w:p>
        </w:tc>
      </w:tr>
    </w:tbl>
    <w:p w14:paraId="02C1D687" w14:textId="77777777" w:rsidR="00D07006" w:rsidRDefault="00D07006" w:rsidP="004A51FC">
      <w:pPr>
        <w:spacing w:line="240" w:lineRule="auto"/>
        <w:contextualSpacing/>
        <w:rPr>
          <w:rFonts w:ascii="Times New Roman" w:hAnsi="Times New Roman"/>
          <w:b/>
        </w:rPr>
      </w:pPr>
    </w:p>
    <w:p w14:paraId="614FBDC0" w14:textId="3C954306" w:rsidR="00CA274F" w:rsidRDefault="00CA274F" w:rsidP="004A51FC">
      <w:pPr>
        <w:spacing w:line="240" w:lineRule="auto"/>
        <w:contextualSpacing/>
        <w:rPr>
          <w:rFonts w:ascii="Times New Roman" w:hAnsi="Times New Roman"/>
          <w:b/>
        </w:rPr>
      </w:pPr>
    </w:p>
    <w:p w14:paraId="4539227C" w14:textId="3BECB8B4" w:rsidR="00506BB6" w:rsidRDefault="00506BB6" w:rsidP="004A51FC">
      <w:pPr>
        <w:spacing w:line="240" w:lineRule="auto"/>
        <w:contextualSpacing/>
        <w:rPr>
          <w:rFonts w:ascii="Times New Roman" w:hAnsi="Times New Roman"/>
          <w:b/>
        </w:rPr>
      </w:pPr>
    </w:p>
    <w:p w14:paraId="03769A13" w14:textId="780185B8" w:rsidR="00506BB6" w:rsidRDefault="00506BB6" w:rsidP="004A51FC">
      <w:pPr>
        <w:spacing w:line="240" w:lineRule="auto"/>
        <w:contextualSpacing/>
        <w:rPr>
          <w:rFonts w:ascii="Times New Roman" w:hAnsi="Times New Roman"/>
          <w:b/>
        </w:rPr>
      </w:pPr>
    </w:p>
    <w:p w14:paraId="6D73D43C" w14:textId="77777777" w:rsidR="00506BB6" w:rsidRDefault="00506BB6" w:rsidP="004A51FC">
      <w:pPr>
        <w:spacing w:line="240" w:lineRule="auto"/>
        <w:contextualSpacing/>
        <w:rPr>
          <w:rFonts w:ascii="Times New Roman" w:hAnsi="Times New Roman"/>
          <w:b/>
        </w:rPr>
      </w:pPr>
    </w:p>
    <w:p w14:paraId="0BB762F9" w14:textId="77777777" w:rsidR="00506BB6" w:rsidRDefault="00506BB6" w:rsidP="00FB31EB">
      <w:pPr>
        <w:spacing w:after="0" w:line="240" w:lineRule="auto"/>
        <w:rPr>
          <w:rFonts w:ascii="Times New Roman" w:hAnsi="Times New Roman"/>
          <w:b/>
          <w:color w:val="4F81BD" w:themeColor="accent1"/>
          <w:sz w:val="28"/>
        </w:rPr>
      </w:pPr>
    </w:p>
    <w:p w14:paraId="1DEA0293" w14:textId="77777777" w:rsidR="00506BB6" w:rsidRDefault="00506BB6" w:rsidP="00FB31EB">
      <w:pPr>
        <w:spacing w:after="0" w:line="240" w:lineRule="auto"/>
        <w:rPr>
          <w:rFonts w:ascii="Times New Roman" w:hAnsi="Times New Roman"/>
        </w:rPr>
      </w:pPr>
    </w:p>
    <w:p w14:paraId="5FEDA742" w14:textId="77777777" w:rsidR="00506BB6" w:rsidRDefault="00506BB6" w:rsidP="00FB31EB">
      <w:pPr>
        <w:spacing w:after="0" w:line="240" w:lineRule="auto"/>
        <w:rPr>
          <w:rFonts w:ascii="Times New Roman" w:hAnsi="Times New Roman"/>
        </w:rPr>
      </w:pPr>
    </w:p>
    <w:p w14:paraId="3317B7D0" w14:textId="77777777" w:rsidR="00506BB6" w:rsidRDefault="00506BB6" w:rsidP="00FB31EB">
      <w:pPr>
        <w:spacing w:after="0" w:line="240" w:lineRule="auto"/>
        <w:rPr>
          <w:rFonts w:ascii="Times New Roman" w:hAnsi="Times New Roman"/>
        </w:rPr>
      </w:pPr>
    </w:p>
    <w:p w14:paraId="28FF7EB5" w14:textId="77777777" w:rsidR="00506BB6" w:rsidRDefault="00506BB6" w:rsidP="00FB31EB">
      <w:pPr>
        <w:spacing w:after="0" w:line="240" w:lineRule="auto"/>
        <w:rPr>
          <w:rFonts w:ascii="Times New Roman" w:hAnsi="Times New Roman"/>
        </w:rPr>
      </w:pPr>
    </w:p>
    <w:p w14:paraId="37E0772E" w14:textId="77777777" w:rsidR="00506BB6" w:rsidRDefault="00506BB6" w:rsidP="00FB31EB">
      <w:pPr>
        <w:spacing w:after="0" w:line="240" w:lineRule="auto"/>
        <w:rPr>
          <w:rFonts w:ascii="Times New Roman" w:hAnsi="Times New Roman"/>
        </w:rPr>
      </w:pPr>
    </w:p>
    <w:p w14:paraId="3799F801" w14:textId="6CACAFC8" w:rsidR="00FB31EB" w:rsidRPr="001033D4" w:rsidRDefault="00FB31EB" w:rsidP="00FB31EB">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 xml:space="preserve">otuTable.csv </w:t>
      </w:r>
    </w:p>
    <w:p w14:paraId="28CC0E63" w14:textId="70BB5DDF" w:rsidR="00FB31EB" w:rsidRPr="001033D4" w:rsidRDefault="00FB31EB" w:rsidP="00FB31EB">
      <w:pPr>
        <w:spacing w:after="0" w:line="240" w:lineRule="auto"/>
        <w:rPr>
          <w:rFonts w:ascii="Times New Roman" w:hAnsi="Times New Roman"/>
          <w:i/>
        </w:rPr>
      </w:pPr>
      <w:r>
        <w:rPr>
          <w:rFonts w:ascii="Times New Roman" w:hAnsi="Times New Roman"/>
        </w:rPr>
        <w:t xml:space="preserve">Dataset description: </w:t>
      </w:r>
      <w:r>
        <w:rPr>
          <w:rFonts w:ascii="Times New Roman" w:hAnsi="Times New Roman"/>
          <w:i/>
        </w:rPr>
        <w:t xml:space="preserve">Operational taxonomic unit sequence count data for 14 lakes sampled. </w:t>
      </w:r>
    </w:p>
    <w:tbl>
      <w:tblPr>
        <w:tblStyle w:val="TableGrid"/>
        <w:tblW w:w="5000" w:type="pct"/>
        <w:tblLook w:val="04A0" w:firstRow="1" w:lastRow="0" w:firstColumn="1" w:lastColumn="0" w:noHBand="0" w:noVBand="1"/>
      </w:tblPr>
      <w:tblGrid>
        <w:gridCol w:w="1987"/>
        <w:gridCol w:w="2705"/>
        <w:gridCol w:w="1230"/>
        <w:gridCol w:w="1475"/>
        <w:gridCol w:w="1143"/>
        <w:gridCol w:w="1036"/>
      </w:tblGrid>
      <w:tr w:rsidR="00F36DA2" w:rsidRPr="0017567B" w14:paraId="3320B8BF" w14:textId="77777777" w:rsidTr="00506BB6">
        <w:trPr>
          <w:trHeight w:val="315"/>
        </w:trPr>
        <w:tc>
          <w:tcPr>
            <w:tcW w:w="1037" w:type="pct"/>
            <w:noWrap/>
            <w:hideMark/>
          </w:tcPr>
          <w:p w14:paraId="3750C581" w14:textId="77777777" w:rsidR="00FB31EB" w:rsidRPr="00CA274F" w:rsidRDefault="00FB31EB" w:rsidP="004A1AE8">
            <w:pPr>
              <w:spacing w:after="0" w:line="240" w:lineRule="auto"/>
              <w:rPr>
                <w:rFonts w:asciiTheme="minorHAnsi" w:hAnsiTheme="minorHAnsi"/>
                <w:b/>
                <w:bCs/>
              </w:rPr>
            </w:pPr>
            <w:r w:rsidRPr="00CA274F">
              <w:rPr>
                <w:rFonts w:asciiTheme="minorHAnsi" w:hAnsiTheme="minorHAnsi"/>
                <w:b/>
                <w:bCs/>
              </w:rPr>
              <w:t>Column name</w:t>
            </w:r>
          </w:p>
        </w:tc>
        <w:tc>
          <w:tcPr>
            <w:tcW w:w="1412" w:type="pct"/>
            <w:hideMark/>
          </w:tcPr>
          <w:p w14:paraId="30B5C207" w14:textId="77777777" w:rsidR="00FB31EB" w:rsidRPr="00CA274F" w:rsidRDefault="00FB31EB" w:rsidP="004A1AE8">
            <w:pPr>
              <w:spacing w:after="0" w:line="240" w:lineRule="auto"/>
              <w:rPr>
                <w:rFonts w:asciiTheme="minorHAnsi" w:hAnsiTheme="minorHAnsi"/>
                <w:b/>
                <w:bCs/>
              </w:rPr>
            </w:pPr>
            <w:r w:rsidRPr="00CA274F">
              <w:rPr>
                <w:rFonts w:asciiTheme="minorHAnsi" w:hAnsiTheme="minorHAnsi"/>
                <w:b/>
                <w:bCs/>
              </w:rPr>
              <w:t>Description</w:t>
            </w:r>
          </w:p>
        </w:tc>
        <w:tc>
          <w:tcPr>
            <w:tcW w:w="642" w:type="pct"/>
          </w:tcPr>
          <w:p w14:paraId="47E14A0E" w14:textId="77777777" w:rsidR="00FB31EB" w:rsidRPr="00CA274F" w:rsidRDefault="00FB31EB" w:rsidP="004A1AE8">
            <w:pPr>
              <w:spacing w:after="0" w:line="240" w:lineRule="auto"/>
              <w:rPr>
                <w:rFonts w:asciiTheme="minorHAnsi" w:hAnsiTheme="minorHAnsi"/>
                <w:b/>
                <w:bCs/>
              </w:rPr>
            </w:pPr>
            <w:r w:rsidRPr="00CA274F">
              <w:rPr>
                <w:rFonts w:asciiTheme="minorHAnsi" w:hAnsiTheme="minorHAnsi"/>
                <w:b/>
                <w:bCs/>
              </w:rPr>
              <w:t>Units</w:t>
            </w:r>
          </w:p>
        </w:tc>
        <w:tc>
          <w:tcPr>
            <w:tcW w:w="770" w:type="pct"/>
          </w:tcPr>
          <w:p w14:paraId="28E2C7D0" w14:textId="77777777" w:rsidR="00FB31EB" w:rsidRPr="00CA274F" w:rsidRDefault="00FB31EB" w:rsidP="004A1AE8">
            <w:pPr>
              <w:spacing w:after="0" w:line="240" w:lineRule="auto"/>
              <w:rPr>
                <w:rFonts w:asciiTheme="minorHAnsi" w:hAnsiTheme="minorHAnsi"/>
                <w:b/>
                <w:bCs/>
              </w:rPr>
            </w:pPr>
            <w:r w:rsidRPr="00CA274F">
              <w:rPr>
                <w:rFonts w:asciiTheme="minorHAnsi" w:hAnsiTheme="minorHAnsi"/>
                <w:b/>
                <w:bCs/>
              </w:rPr>
              <w:t>Code explanation</w:t>
            </w:r>
          </w:p>
        </w:tc>
        <w:tc>
          <w:tcPr>
            <w:tcW w:w="597" w:type="pct"/>
          </w:tcPr>
          <w:p w14:paraId="1F185067" w14:textId="77777777" w:rsidR="00FB31EB" w:rsidRPr="00CA274F" w:rsidRDefault="00FB31EB" w:rsidP="004A1AE8">
            <w:pPr>
              <w:spacing w:after="0" w:line="240" w:lineRule="auto"/>
              <w:rPr>
                <w:rFonts w:asciiTheme="minorHAnsi" w:hAnsiTheme="minorHAnsi"/>
                <w:b/>
                <w:bCs/>
              </w:rPr>
            </w:pPr>
            <w:r w:rsidRPr="00CA274F">
              <w:rPr>
                <w:rFonts w:asciiTheme="minorHAnsi" w:hAnsiTheme="minorHAnsi"/>
                <w:b/>
                <w:bCs/>
              </w:rPr>
              <w:t>Data format</w:t>
            </w:r>
          </w:p>
        </w:tc>
        <w:tc>
          <w:tcPr>
            <w:tcW w:w="541" w:type="pct"/>
          </w:tcPr>
          <w:p w14:paraId="02D15118" w14:textId="77777777" w:rsidR="00FB31EB" w:rsidRPr="00CA274F" w:rsidRDefault="00FB31EB" w:rsidP="004A1AE8">
            <w:pPr>
              <w:spacing w:after="0" w:line="240" w:lineRule="auto"/>
              <w:rPr>
                <w:rFonts w:asciiTheme="minorHAnsi" w:hAnsiTheme="minorHAnsi"/>
                <w:b/>
                <w:bCs/>
              </w:rPr>
            </w:pPr>
            <w:r w:rsidRPr="00CA274F">
              <w:rPr>
                <w:rFonts w:asciiTheme="minorHAnsi" w:hAnsiTheme="minorHAnsi"/>
                <w:b/>
                <w:bCs/>
              </w:rPr>
              <w:t>Missing data code</w:t>
            </w:r>
          </w:p>
        </w:tc>
      </w:tr>
      <w:tr w:rsidR="00F36DA2" w:rsidRPr="0049476D" w14:paraId="1244D945" w14:textId="77777777" w:rsidTr="00506BB6">
        <w:trPr>
          <w:trHeight w:val="305"/>
        </w:trPr>
        <w:tc>
          <w:tcPr>
            <w:tcW w:w="1037" w:type="pct"/>
            <w:noWrap/>
          </w:tcPr>
          <w:p w14:paraId="095C459E" w14:textId="514B715C" w:rsidR="00FB31EB" w:rsidRPr="0049476D" w:rsidRDefault="00FB31EB" w:rsidP="004A1AE8">
            <w:pPr>
              <w:spacing w:after="0" w:line="240" w:lineRule="auto"/>
              <w:rPr>
                <w:rFonts w:asciiTheme="minorHAnsi" w:hAnsiTheme="minorHAnsi"/>
                <w:sz w:val="20"/>
                <w:szCs w:val="20"/>
              </w:rPr>
            </w:pPr>
            <w:r w:rsidRPr="0049476D">
              <w:rPr>
                <w:rFonts w:asciiTheme="minorHAnsi" w:hAnsiTheme="minorHAnsi"/>
                <w:sz w:val="20"/>
                <w:szCs w:val="20"/>
              </w:rPr>
              <w:t>OTU.ID</w:t>
            </w:r>
          </w:p>
        </w:tc>
        <w:tc>
          <w:tcPr>
            <w:tcW w:w="1412" w:type="pct"/>
          </w:tcPr>
          <w:p w14:paraId="33E77ACB" w14:textId="1FB01650" w:rsidR="00FB31EB" w:rsidRPr="0049476D" w:rsidRDefault="00FB31EB" w:rsidP="004A1AE8">
            <w:pPr>
              <w:spacing w:after="0" w:line="240" w:lineRule="auto"/>
              <w:rPr>
                <w:rFonts w:asciiTheme="minorHAnsi" w:hAnsiTheme="minorHAnsi"/>
                <w:sz w:val="20"/>
                <w:szCs w:val="20"/>
              </w:rPr>
            </w:pPr>
            <w:r w:rsidRPr="0049476D">
              <w:rPr>
                <w:rFonts w:asciiTheme="minorHAnsi" w:hAnsiTheme="minorHAnsi"/>
                <w:sz w:val="20"/>
                <w:szCs w:val="20"/>
              </w:rPr>
              <w:t xml:space="preserve">Multi-character string identifying operational taxonomic units based upon sequence homology </w:t>
            </w:r>
          </w:p>
        </w:tc>
        <w:tc>
          <w:tcPr>
            <w:tcW w:w="642" w:type="pct"/>
          </w:tcPr>
          <w:p w14:paraId="525E80A8" w14:textId="77777777" w:rsidR="00FB31EB" w:rsidRPr="0049476D" w:rsidRDefault="00FB31EB" w:rsidP="004A1AE8">
            <w:pPr>
              <w:spacing w:after="0" w:line="240" w:lineRule="auto"/>
              <w:rPr>
                <w:rFonts w:asciiTheme="minorHAnsi" w:hAnsiTheme="minorHAnsi"/>
                <w:sz w:val="20"/>
                <w:szCs w:val="20"/>
              </w:rPr>
            </w:pPr>
            <w:r w:rsidRPr="0049476D">
              <w:rPr>
                <w:rFonts w:asciiTheme="minorHAnsi" w:hAnsiTheme="minorHAnsi"/>
                <w:sz w:val="20"/>
                <w:szCs w:val="20"/>
              </w:rPr>
              <w:t>NA</w:t>
            </w:r>
          </w:p>
        </w:tc>
        <w:tc>
          <w:tcPr>
            <w:tcW w:w="770" w:type="pct"/>
          </w:tcPr>
          <w:p w14:paraId="39A2CF12" w14:textId="772EDE89" w:rsidR="00FB31EB" w:rsidRPr="0049476D" w:rsidRDefault="00FB31EB" w:rsidP="004A1AE8">
            <w:pPr>
              <w:spacing w:after="0" w:line="240" w:lineRule="auto"/>
              <w:rPr>
                <w:rFonts w:asciiTheme="minorHAnsi" w:hAnsiTheme="minorHAnsi"/>
                <w:b/>
                <w:sz w:val="20"/>
                <w:szCs w:val="20"/>
              </w:rPr>
            </w:pPr>
            <w:r w:rsidRPr="0049476D">
              <w:rPr>
                <w:rFonts w:asciiTheme="minorHAnsi" w:hAnsiTheme="minorHAnsi"/>
                <w:sz w:val="20"/>
                <w:szCs w:val="20"/>
              </w:rPr>
              <w:t>OTU string IDs are arbitrarily assigned</w:t>
            </w:r>
            <w:r w:rsidRPr="0049476D">
              <w:rPr>
                <w:rFonts w:asciiTheme="minorHAnsi" w:hAnsiTheme="minorHAnsi"/>
                <w:b/>
                <w:sz w:val="20"/>
                <w:szCs w:val="20"/>
              </w:rPr>
              <w:t xml:space="preserve"> </w:t>
            </w:r>
          </w:p>
        </w:tc>
        <w:tc>
          <w:tcPr>
            <w:tcW w:w="597" w:type="pct"/>
          </w:tcPr>
          <w:p w14:paraId="35EEBB1C" w14:textId="33BAACB9" w:rsidR="00FB31EB" w:rsidRPr="0049476D" w:rsidRDefault="00FB31EB" w:rsidP="004A1AE8">
            <w:pPr>
              <w:spacing w:after="0" w:line="240" w:lineRule="auto"/>
              <w:rPr>
                <w:rFonts w:asciiTheme="minorHAnsi" w:hAnsiTheme="minorHAnsi"/>
                <w:sz w:val="20"/>
                <w:szCs w:val="20"/>
              </w:rPr>
            </w:pPr>
            <w:r w:rsidRPr="0049476D">
              <w:rPr>
                <w:rFonts w:asciiTheme="minorHAnsi" w:hAnsiTheme="minorHAnsi"/>
                <w:sz w:val="20"/>
                <w:szCs w:val="20"/>
              </w:rPr>
              <w:t xml:space="preserve">Multi-character string </w:t>
            </w:r>
          </w:p>
        </w:tc>
        <w:tc>
          <w:tcPr>
            <w:tcW w:w="541" w:type="pct"/>
          </w:tcPr>
          <w:p w14:paraId="228CE549" w14:textId="77777777" w:rsidR="00FB31EB" w:rsidRPr="0049476D" w:rsidRDefault="00FB31EB" w:rsidP="004A1AE8">
            <w:pPr>
              <w:spacing w:after="0" w:line="240" w:lineRule="auto"/>
              <w:rPr>
                <w:rFonts w:asciiTheme="minorHAnsi" w:hAnsiTheme="minorHAnsi"/>
                <w:sz w:val="20"/>
                <w:szCs w:val="20"/>
              </w:rPr>
            </w:pPr>
            <w:r w:rsidRPr="0049476D">
              <w:rPr>
                <w:rFonts w:asciiTheme="minorHAnsi" w:hAnsiTheme="minorHAnsi"/>
                <w:sz w:val="20"/>
                <w:szCs w:val="20"/>
              </w:rPr>
              <w:t>NA</w:t>
            </w:r>
          </w:p>
        </w:tc>
      </w:tr>
      <w:tr w:rsidR="00F36DA2" w:rsidRPr="0017567B" w14:paraId="34DBD6E2" w14:textId="77777777" w:rsidTr="00506BB6">
        <w:trPr>
          <w:trHeight w:val="300"/>
        </w:trPr>
        <w:tc>
          <w:tcPr>
            <w:tcW w:w="1037" w:type="pct"/>
            <w:noWrap/>
          </w:tcPr>
          <w:p w14:paraId="764FE4EF" w14:textId="1DB2FC40" w:rsidR="00FB31EB" w:rsidRPr="00F36DA2" w:rsidRDefault="00FB31EB" w:rsidP="004A1AE8">
            <w:pPr>
              <w:spacing w:after="0" w:line="240" w:lineRule="auto"/>
              <w:rPr>
                <w:rFonts w:asciiTheme="minorHAnsi" w:hAnsiTheme="minorHAnsi"/>
                <w:sz w:val="20"/>
                <w:szCs w:val="20"/>
              </w:rPr>
            </w:pPr>
            <w:r w:rsidRPr="00F36DA2">
              <w:rPr>
                <w:rFonts w:asciiTheme="minorHAnsi" w:hAnsiTheme="minorHAnsi"/>
                <w:sz w:val="20"/>
                <w:szCs w:val="20"/>
              </w:rPr>
              <w:t>BA</w:t>
            </w:r>
          </w:p>
        </w:tc>
        <w:tc>
          <w:tcPr>
            <w:tcW w:w="1412" w:type="pct"/>
          </w:tcPr>
          <w:p w14:paraId="720E9FDB" w14:textId="0AC43BD7" w:rsidR="00FB31EB" w:rsidRPr="00F36DA2" w:rsidRDefault="00FB31EB" w:rsidP="004A1AE8">
            <w:pPr>
              <w:spacing w:after="0" w:line="240" w:lineRule="auto"/>
              <w:rPr>
                <w:rFonts w:asciiTheme="minorHAnsi" w:hAnsiTheme="minorHAnsi"/>
                <w:sz w:val="20"/>
                <w:szCs w:val="20"/>
              </w:rPr>
            </w:pPr>
            <w:r w:rsidRPr="00F36DA2">
              <w:rPr>
                <w:rFonts w:asciiTheme="minorHAnsi" w:hAnsiTheme="minorHAnsi"/>
                <w:sz w:val="20"/>
                <w:szCs w:val="20"/>
              </w:rPr>
              <w:t xml:space="preserve">Count of quality filtered sequences belonging to each operational taxonomic unit (rows) for Bay Lake. </w:t>
            </w:r>
          </w:p>
        </w:tc>
        <w:tc>
          <w:tcPr>
            <w:tcW w:w="642" w:type="pct"/>
          </w:tcPr>
          <w:p w14:paraId="3617784A" w14:textId="04F20E82" w:rsidR="00FB31EB" w:rsidRPr="00F36DA2" w:rsidRDefault="00FB31EB" w:rsidP="004A1AE8">
            <w:pPr>
              <w:spacing w:after="0" w:line="240" w:lineRule="auto"/>
              <w:rPr>
                <w:rFonts w:asciiTheme="minorHAnsi" w:hAnsiTheme="minorHAnsi"/>
                <w:sz w:val="20"/>
                <w:szCs w:val="20"/>
              </w:rPr>
            </w:pPr>
            <w:r w:rsidRPr="00F36DA2">
              <w:rPr>
                <w:rFonts w:asciiTheme="minorHAnsi" w:hAnsiTheme="minorHAnsi"/>
                <w:sz w:val="20"/>
                <w:szCs w:val="20"/>
              </w:rPr>
              <w:t>Sequences</w:t>
            </w:r>
          </w:p>
        </w:tc>
        <w:tc>
          <w:tcPr>
            <w:tcW w:w="770" w:type="pct"/>
          </w:tcPr>
          <w:p w14:paraId="3D6E7FBB" w14:textId="77777777" w:rsidR="00FB31EB" w:rsidRPr="00F36DA2" w:rsidRDefault="00FB31EB" w:rsidP="004A1AE8">
            <w:pPr>
              <w:spacing w:after="0" w:line="240" w:lineRule="auto"/>
              <w:rPr>
                <w:rFonts w:asciiTheme="minorHAnsi" w:hAnsiTheme="minorHAnsi"/>
                <w:sz w:val="20"/>
                <w:szCs w:val="20"/>
              </w:rPr>
            </w:pPr>
            <w:r w:rsidRPr="00F36DA2">
              <w:rPr>
                <w:rFonts w:asciiTheme="minorHAnsi" w:hAnsiTheme="minorHAnsi"/>
                <w:sz w:val="20"/>
                <w:szCs w:val="20"/>
              </w:rPr>
              <w:t>NA</w:t>
            </w:r>
          </w:p>
        </w:tc>
        <w:tc>
          <w:tcPr>
            <w:tcW w:w="597" w:type="pct"/>
          </w:tcPr>
          <w:p w14:paraId="53270266" w14:textId="40E77322" w:rsidR="00FB31EB" w:rsidRPr="00F36DA2" w:rsidRDefault="00FB31EB" w:rsidP="004A1AE8">
            <w:pPr>
              <w:spacing w:after="0" w:line="240" w:lineRule="auto"/>
              <w:rPr>
                <w:rFonts w:asciiTheme="minorHAnsi" w:hAnsiTheme="minorHAnsi"/>
                <w:sz w:val="20"/>
                <w:szCs w:val="20"/>
              </w:rPr>
            </w:pPr>
            <w:r w:rsidRPr="00F36DA2">
              <w:rPr>
                <w:rFonts w:asciiTheme="minorHAnsi" w:hAnsiTheme="minorHAnsi"/>
                <w:sz w:val="20"/>
                <w:szCs w:val="20"/>
              </w:rPr>
              <w:t xml:space="preserve">Integer </w:t>
            </w:r>
          </w:p>
        </w:tc>
        <w:tc>
          <w:tcPr>
            <w:tcW w:w="541" w:type="pct"/>
          </w:tcPr>
          <w:p w14:paraId="1A93D840" w14:textId="77777777" w:rsidR="00FB31EB" w:rsidRPr="00F36DA2" w:rsidRDefault="00FB31EB" w:rsidP="004A1AE8">
            <w:pPr>
              <w:spacing w:after="0" w:line="240" w:lineRule="auto"/>
              <w:rPr>
                <w:rFonts w:asciiTheme="minorHAnsi" w:hAnsiTheme="minorHAnsi"/>
                <w:sz w:val="20"/>
                <w:szCs w:val="20"/>
              </w:rPr>
            </w:pPr>
            <w:r w:rsidRPr="00F36DA2">
              <w:rPr>
                <w:rFonts w:asciiTheme="minorHAnsi" w:hAnsiTheme="minorHAnsi"/>
                <w:sz w:val="20"/>
                <w:szCs w:val="20"/>
              </w:rPr>
              <w:t>NA</w:t>
            </w:r>
          </w:p>
        </w:tc>
      </w:tr>
      <w:tr w:rsidR="00F36DA2" w:rsidRPr="0017567B" w14:paraId="14C8EFB8" w14:textId="77777777" w:rsidTr="00506BB6">
        <w:trPr>
          <w:trHeight w:val="300"/>
        </w:trPr>
        <w:tc>
          <w:tcPr>
            <w:tcW w:w="1037" w:type="pct"/>
            <w:noWrap/>
          </w:tcPr>
          <w:p w14:paraId="70CF6873" w14:textId="1D93D957"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BE</w:t>
            </w:r>
          </w:p>
        </w:tc>
        <w:tc>
          <w:tcPr>
            <w:tcW w:w="1412" w:type="pct"/>
          </w:tcPr>
          <w:p w14:paraId="5FE70780" w14:textId="10D81CDE"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 xml:space="preserve">Count of quality filtered sequences belonging to each operational taxonomic unit (rows) for Bergner Lake. </w:t>
            </w:r>
          </w:p>
        </w:tc>
        <w:tc>
          <w:tcPr>
            <w:tcW w:w="642" w:type="pct"/>
          </w:tcPr>
          <w:p w14:paraId="3D179FED" w14:textId="2115D1F4"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Sequences</w:t>
            </w:r>
          </w:p>
        </w:tc>
        <w:tc>
          <w:tcPr>
            <w:tcW w:w="770" w:type="pct"/>
          </w:tcPr>
          <w:p w14:paraId="4E5F2C8D" w14:textId="54CCEBE8"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NA</w:t>
            </w:r>
          </w:p>
        </w:tc>
        <w:tc>
          <w:tcPr>
            <w:tcW w:w="597" w:type="pct"/>
          </w:tcPr>
          <w:p w14:paraId="343CF4D1" w14:textId="4473EF0C"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 xml:space="preserve">Integer </w:t>
            </w:r>
          </w:p>
        </w:tc>
        <w:tc>
          <w:tcPr>
            <w:tcW w:w="541" w:type="pct"/>
          </w:tcPr>
          <w:p w14:paraId="2188B65E" w14:textId="45B7D1DA"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NA</w:t>
            </w:r>
          </w:p>
        </w:tc>
      </w:tr>
      <w:tr w:rsidR="00F36DA2" w:rsidRPr="0017567B" w14:paraId="34978FF8" w14:textId="77777777" w:rsidTr="00506BB6">
        <w:trPr>
          <w:trHeight w:val="300"/>
        </w:trPr>
        <w:tc>
          <w:tcPr>
            <w:tcW w:w="1037" w:type="pct"/>
            <w:noWrap/>
          </w:tcPr>
          <w:p w14:paraId="7BA128D4" w14:textId="3AFB9309"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BO</w:t>
            </w:r>
          </w:p>
        </w:tc>
        <w:tc>
          <w:tcPr>
            <w:tcW w:w="1412" w:type="pct"/>
          </w:tcPr>
          <w:p w14:paraId="70A835B0" w14:textId="6EDA2CCE"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Count of quality filtered sequences belonging to each operational taxonomic unit (rows) for Bolger Bog.</w:t>
            </w:r>
          </w:p>
        </w:tc>
        <w:tc>
          <w:tcPr>
            <w:tcW w:w="642" w:type="pct"/>
          </w:tcPr>
          <w:p w14:paraId="002097B4" w14:textId="62C66AE2"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Sequences</w:t>
            </w:r>
          </w:p>
        </w:tc>
        <w:tc>
          <w:tcPr>
            <w:tcW w:w="770" w:type="pct"/>
          </w:tcPr>
          <w:p w14:paraId="7D68841E" w14:textId="0B391A66"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NA</w:t>
            </w:r>
          </w:p>
        </w:tc>
        <w:tc>
          <w:tcPr>
            <w:tcW w:w="597" w:type="pct"/>
          </w:tcPr>
          <w:p w14:paraId="2DA167CA" w14:textId="78BE3475"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 xml:space="preserve">Integer </w:t>
            </w:r>
          </w:p>
        </w:tc>
        <w:tc>
          <w:tcPr>
            <w:tcW w:w="541" w:type="pct"/>
          </w:tcPr>
          <w:p w14:paraId="24178009" w14:textId="7FF4127C"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NA</w:t>
            </w:r>
          </w:p>
        </w:tc>
      </w:tr>
      <w:tr w:rsidR="00506BB6" w:rsidRPr="0017567B" w14:paraId="00EFB5C5" w14:textId="77777777" w:rsidTr="00506BB6">
        <w:trPr>
          <w:trHeight w:val="300"/>
        </w:trPr>
        <w:tc>
          <w:tcPr>
            <w:tcW w:w="1037" w:type="pct"/>
            <w:noWrap/>
          </w:tcPr>
          <w:p w14:paraId="357AE780" w14:textId="3120B73D"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BR</w:t>
            </w:r>
          </w:p>
        </w:tc>
        <w:tc>
          <w:tcPr>
            <w:tcW w:w="1412" w:type="pct"/>
          </w:tcPr>
          <w:p w14:paraId="470FDB23" w14:textId="4982D9C8"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 xml:space="preserve">Count of quality filtered sequences belonging to each operational taxonomic unit (rows) for Brown Lake. </w:t>
            </w:r>
          </w:p>
        </w:tc>
        <w:tc>
          <w:tcPr>
            <w:tcW w:w="642" w:type="pct"/>
          </w:tcPr>
          <w:p w14:paraId="4656AC0D" w14:textId="3954ABA6"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Sequences</w:t>
            </w:r>
          </w:p>
        </w:tc>
        <w:tc>
          <w:tcPr>
            <w:tcW w:w="770" w:type="pct"/>
          </w:tcPr>
          <w:p w14:paraId="06133C81" w14:textId="2CD709B5"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NA</w:t>
            </w:r>
          </w:p>
        </w:tc>
        <w:tc>
          <w:tcPr>
            <w:tcW w:w="597" w:type="pct"/>
          </w:tcPr>
          <w:p w14:paraId="2B04C2CF" w14:textId="1522CCE4"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 xml:space="preserve">Integer </w:t>
            </w:r>
          </w:p>
        </w:tc>
        <w:tc>
          <w:tcPr>
            <w:tcW w:w="541" w:type="pct"/>
          </w:tcPr>
          <w:p w14:paraId="70B23D89" w14:textId="701D902F"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NA</w:t>
            </w:r>
          </w:p>
        </w:tc>
      </w:tr>
      <w:tr w:rsidR="00506BB6" w:rsidRPr="0017567B" w14:paraId="185D0421" w14:textId="77777777" w:rsidTr="00506BB6">
        <w:trPr>
          <w:trHeight w:val="300"/>
        </w:trPr>
        <w:tc>
          <w:tcPr>
            <w:tcW w:w="1037" w:type="pct"/>
            <w:noWrap/>
          </w:tcPr>
          <w:p w14:paraId="071D09EE" w14:textId="4DCA00C3"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CB</w:t>
            </w:r>
          </w:p>
        </w:tc>
        <w:tc>
          <w:tcPr>
            <w:tcW w:w="1412" w:type="pct"/>
          </w:tcPr>
          <w:p w14:paraId="0012AE42" w14:textId="74CFCA26"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 xml:space="preserve">Count of quality filtered sequences belonging to each operational taxonomic unit (rows) for Cranberry Bog </w:t>
            </w:r>
          </w:p>
        </w:tc>
        <w:tc>
          <w:tcPr>
            <w:tcW w:w="642" w:type="pct"/>
          </w:tcPr>
          <w:p w14:paraId="67B3BAD5" w14:textId="09B316DB"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Sequences</w:t>
            </w:r>
          </w:p>
        </w:tc>
        <w:tc>
          <w:tcPr>
            <w:tcW w:w="770" w:type="pct"/>
          </w:tcPr>
          <w:p w14:paraId="75135CF3" w14:textId="7DA8257C"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NA</w:t>
            </w:r>
          </w:p>
        </w:tc>
        <w:tc>
          <w:tcPr>
            <w:tcW w:w="597" w:type="pct"/>
          </w:tcPr>
          <w:p w14:paraId="02E1C4CD" w14:textId="0F0EBF76"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 xml:space="preserve">Integer </w:t>
            </w:r>
          </w:p>
        </w:tc>
        <w:tc>
          <w:tcPr>
            <w:tcW w:w="541" w:type="pct"/>
          </w:tcPr>
          <w:p w14:paraId="2A479CF4" w14:textId="31D5C9A5"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NA</w:t>
            </w:r>
          </w:p>
        </w:tc>
      </w:tr>
      <w:tr w:rsidR="00506BB6" w:rsidRPr="0017567B" w14:paraId="362B55A5" w14:textId="77777777" w:rsidTr="00506BB6">
        <w:trPr>
          <w:trHeight w:val="300"/>
        </w:trPr>
        <w:tc>
          <w:tcPr>
            <w:tcW w:w="1037" w:type="pct"/>
            <w:noWrap/>
          </w:tcPr>
          <w:p w14:paraId="4374150B" w14:textId="1339DE5F"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CR</w:t>
            </w:r>
          </w:p>
        </w:tc>
        <w:tc>
          <w:tcPr>
            <w:tcW w:w="1412" w:type="pct"/>
          </w:tcPr>
          <w:p w14:paraId="57582388" w14:textId="696B7E51"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 xml:space="preserve">Count of quality filtered sequences belonging to each operational taxonomic unit (rows) for Crampton Lake.  </w:t>
            </w:r>
          </w:p>
        </w:tc>
        <w:tc>
          <w:tcPr>
            <w:tcW w:w="642" w:type="pct"/>
          </w:tcPr>
          <w:p w14:paraId="6B57FEC2" w14:textId="510A20FD"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Sequences</w:t>
            </w:r>
          </w:p>
        </w:tc>
        <w:tc>
          <w:tcPr>
            <w:tcW w:w="770" w:type="pct"/>
          </w:tcPr>
          <w:p w14:paraId="29D536F6" w14:textId="00FFC457"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NA</w:t>
            </w:r>
          </w:p>
        </w:tc>
        <w:tc>
          <w:tcPr>
            <w:tcW w:w="597" w:type="pct"/>
          </w:tcPr>
          <w:p w14:paraId="73AA5727" w14:textId="1BBD9E2B"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 xml:space="preserve">Integer </w:t>
            </w:r>
          </w:p>
        </w:tc>
        <w:tc>
          <w:tcPr>
            <w:tcW w:w="541" w:type="pct"/>
          </w:tcPr>
          <w:p w14:paraId="68DE6090" w14:textId="747C5C8A"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NA</w:t>
            </w:r>
          </w:p>
        </w:tc>
      </w:tr>
      <w:tr w:rsidR="00F36DA2" w:rsidRPr="0017567B" w14:paraId="263D7DC2" w14:textId="77777777" w:rsidTr="00506BB6">
        <w:trPr>
          <w:trHeight w:val="300"/>
        </w:trPr>
        <w:tc>
          <w:tcPr>
            <w:tcW w:w="1037" w:type="pct"/>
            <w:noWrap/>
          </w:tcPr>
          <w:p w14:paraId="6C9311FE" w14:textId="42F8301D"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FO</w:t>
            </w:r>
          </w:p>
        </w:tc>
        <w:tc>
          <w:tcPr>
            <w:tcW w:w="1412" w:type="pct"/>
          </w:tcPr>
          <w:p w14:paraId="6126244C" w14:textId="237DCB6E"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 xml:space="preserve">Count of quality filtered sequences belonging to each operational taxonomic unit (rows) for Foggy Lake.  </w:t>
            </w:r>
          </w:p>
        </w:tc>
        <w:tc>
          <w:tcPr>
            <w:tcW w:w="642" w:type="pct"/>
          </w:tcPr>
          <w:p w14:paraId="0F4B6E86" w14:textId="18ADDE5B"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Sequences</w:t>
            </w:r>
          </w:p>
        </w:tc>
        <w:tc>
          <w:tcPr>
            <w:tcW w:w="770" w:type="pct"/>
          </w:tcPr>
          <w:p w14:paraId="5BDBC845" w14:textId="61381303"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NA</w:t>
            </w:r>
          </w:p>
        </w:tc>
        <w:tc>
          <w:tcPr>
            <w:tcW w:w="597" w:type="pct"/>
          </w:tcPr>
          <w:p w14:paraId="199EE4BF" w14:textId="3F3E3EA5"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 xml:space="preserve">Integer </w:t>
            </w:r>
          </w:p>
        </w:tc>
        <w:tc>
          <w:tcPr>
            <w:tcW w:w="541" w:type="pct"/>
          </w:tcPr>
          <w:p w14:paraId="7FBA3984" w14:textId="51F610A3"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NA</w:t>
            </w:r>
          </w:p>
        </w:tc>
      </w:tr>
      <w:tr w:rsidR="00F36DA2" w:rsidRPr="0017567B" w14:paraId="422A55EA" w14:textId="77777777" w:rsidTr="00506BB6">
        <w:trPr>
          <w:trHeight w:val="300"/>
        </w:trPr>
        <w:tc>
          <w:tcPr>
            <w:tcW w:w="1037" w:type="pct"/>
            <w:noWrap/>
          </w:tcPr>
          <w:p w14:paraId="0F3447E6" w14:textId="0F277FC8"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HB</w:t>
            </w:r>
          </w:p>
        </w:tc>
        <w:tc>
          <w:tcPr>
            <w:tcW w:w="1412" w:type="pct"/>
          </w:tcPr>
          <w:p w14:paraId="63B6F188" w14:textId="3727CDD5"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Count of quality filtered sequences belonging to each operational taxonomic unit (rows) for Hummingbird Bog.</w:t>
            </w:r>
          </w:p>
        </w:tc>
        <w:tc>
          <w:tcPr>
            <w:tcW w:w="642" w:type="pct"/>
          </w:tcPr>
          <w:p w14:paraId="7C5CEA56" w14:textId="11B35C6A"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Sequences</w:t>
            </w:r>
          </w:p>
        </w:tc>
        <w:tc>
          <w:tcPr>
            <w:tcW w:w="770" w:type="pct"/>
          </w:tcPr>
          <w:p w14:paraId="1396CFB8" w14:textId="28ED067B"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NA</w:t>
            </w:r>
          </w:p>
        </w:tc>
        <w:tc>
          <w:tcPr>
            <w:tcW w:w="597" w:type="pct"/>
          </w:tcPr>
          <w:p w14:paraId="1BAB7DAB" w14:textId="281E6A76"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 xml:space="preserve">Integer </w:t>
            </w:r>
          </w:p>
        </w:tc>
        <w:tc>
          <w:tcPr>
            <w:tcW w:w="541" w:type="pct"/>
          </w:tcPr>
          <w:p w14:paraId="1D00C8F6" w14:textId="31E6F92D"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NA</w:t>
            </w:r>
          </w:p>
        </w:tc>
      </w:tr>
      <w:tr w:rsidR="00F36DA2" w:rsidRPr="0017567B" w14:paraId="6C059DD1" w14:textId="77777777" w:rsidTr="00506BB6">
        <w:trPr>
          <w:trHeight w:val="300"/>
        </w:trPr>
        <w:tc>
          <w:tcPr>
            <w:tcW w:w="1037" w:type="pct"/>
            <w:noWrap/>
          </w:tcPr>
          <w:p w14:paraId="60C4313D" w14:textId="2755978C"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MO</w:t>
            </w:r>
          </w:p>
        </w:tc>
        <w:tc>
          <w:tcPr>
            <w:tcW w:w="1412" w:type="pct"/>
          </w:tcPr>
          <w:p w14:paraId="61A1CE25" w14:textId="394C4A9F"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 xml:space="preserve">Count of quality filtered sequences belonging to each operational taxonomic unit (rows) for Morris Lake.  </w:t>
            </w:r>
          </w:p>
        </w:tc>
        <w:tc>
          <w:tcPr>
            <w:tcW w:w="642" w:type="pct"/>
          </w:tcPr>
          <w:p w14:paraId="176E4B3E" w14:textId="2A724E61"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Sequences</w:t>
            </w:r>
          </w:p>
        </w:tc>
        <w:tc>
          <w:tcPr>
            <w:tcW w:w="770" w:type="pct"/>
          </w:tcPr>
          <w:p w14:paraId="7D494F47" w14:textId="7E359841"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NA</w:t>
            </w:r>
          </w:p>
        </w:tc>
        <w:tc>
          <w:tcPr>
            <w:tcW w:w="597" w:type="pct"/>
          </w:tcPr>
          <w:p w14:paraId="00735B1F" w14:textId="691EFE94"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 xml:space="preserve">Integer </w:t>
            </w:r>
          </w:p>
        </w:tc>
        <w:tc>
          <w:tcPr>
            <w:tcW w:w="541" w:type="pct"/>
          </w:tcPr>
          <w:p w14:paraId="647B5F58" w14:textId="65197577"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NA</w:t>
            </w:r>
          </w:p>
        </w:tc>
      </w:tr>
      <w:tr w:rsidR="00F36DA2" w:rsidRPr="0017567B" w14:paraId="2BCC84ED" w14:textId="77777777" w:rsidTr="00506BB6">
        <w:trPr>
          <w:trHeight w:val="300"/>
        </w:trPr>
        <w:tc>
          <w:tcPr>
            <w:tcW w:w="1037" w:type="pct"/>
            <w:noWrap/>
          </w:tcPr>
          <w:p w14:paraId="24CD1209" w14:textId="60719F61"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NG</w:t>
            </w:r>
          </w:p>
        </w:tc>
        <w:tc>
          <w:tcPr>
            <w:tcW w:w="1412" w:type="pct"/>
          </w:tcPr>
          <w:p w14:paraId="6A3996AB" w14:textId="162904F1"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 xml:space="preserve">Count of quality filtered sequences belonging to each operational taxonomic unit (rows) for North Gate Bog  </w:t>
            </w:r>
          </w:p>
        </w:tc>
        <w:tc>
          <w:tcPr>
            <w:tcW w:w="642" w:type="pct"/>
          </w:tcPr>
          <w:p w14:paraId="3E560F30" w14:textId="4D3ECD88"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Sequences</w:t>
            </w:r>
          </w:p>
        </w:tc>
        <w:tc>
          <w:tcPr>
            <w:tcW w:w="770" w:type="pct"/>
          </w:tcPr>
          <w:p w14:paraId="069181F4" w14:textId="7D5FA82E"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NA</w:t>
            </w:r>
          </w:p>
        </w:tc>
        <w:tc>
          <w:tcPr>
            <w:tcW w:w="597" w:type="pct"/>
          </w:tcPr>
          <w:p w14:paraId="17331521" w14:textId="59C3DB61"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 xml:space="preserve">Integer </w:t>
            </w:r>
          </w:p>
        </w:tc>
        <w:tc>
          <w:tcPr>
            <w:tcW w:w="541" w:type="pct"/>
          </w:tcPr>
          <w:p w14:paraId="1DBE6244" w14:textId="49C3FD04"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NA</w:t>
            </w:r>
          </w:p>
        </w:tc>
      </w:tr>
      <w:tr w:rsidR="00F36DA2" w:rsidRPr="0017567B" w14:paraId="4E75EC6B" w14:textId="77777777" w:rsidTr="00506BB6">
        <w:trPr>
          <w:trHeight w:val="300"/>
        </w:trPr>
        <w:tc>
          <w:tcPr>
            <w:tcW w:w="1037" w:type="pct"/>
            <w:noWrap/>
          </w:tcPr>
          <w:p w14:paraId="6D3FE802" w14:textId="546328A3"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PA</w:t>
            </w:r>
          </w:p>
        </w:tc>
        <w:tc>
          <w:tcPr>
            <w:tcW w:w="1412" w:type="pct"/>
          </w:tcPr>
          <w:p w14:paraId="47B47828" w14:textId="3A4BF40B"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 xml:space="preserve">Count of quality filtered sequences belonging to each operational taxonomic unit (rows) for Paul Lake.  </w:t>
            </w:r>
          </w:p>
        </w:tc>
        <w:tc>
          <w:tcPr>
            <w:tcW w:w="642" w:type="pct"/>
          </w:tcPr>
          <w:p w14:paraId="717271DE" w14:textId="4803C1C8"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Sequences</w:t>
            </w:r>
          </w:p>
        </w:tc>
        <w:tc>
          <w:tcPr>
            <w:tcW w:w="770" w:type="pct"/>
          </w:tcPr>
          <w:p w14:paraId="4E873B99" w14:textId="532DFF61"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NA</w:t>
            </w:r>
          </w:p>
        </w:tc>
        <w:tc>
          <w:tcPr>
            <w:tcW w:w="597" w:type="pct"/>
          </w:tcPr>
          <w:p w14:paraId="3506306E" w14:textId="26AB1165"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 xml:space="preserve">Integer </w:t>
            </w:r>
          </w:p>
        </w:tc>
        <w:tc>
          <w:tcPr>
            <w:tcW w:w="541" w:type="pct"/>
          </w:tcPr>
          <w:p w14:paraId="497CA941" w14:textId="0BC70B6A"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NA</w:t>
            </w:r>
          </w:p>
        </w:tc>
      </w:tr>
      <w:tr w:rsidR="00F36DA2" w:rsidRPr="0017567B" w14:paraId="3D279CDE" w14:textId="77777777" w:rsidTr="00506BB6">
        <w:trPr>
          <w:trHeight w:val="300"/>
        </w:trPr>
        <w:tc>
          <w:tcPr>
            <w:tcW w:w="1037" w:type="pct"/>
            <w:noWrap/>
          </w:tcPr>
          <w:p w14:paraId="3175E16B" w14:textId="7FD76DBB"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lastRenderedPageBreak/>
              <w:t>PE</w:t>
            </w:r>
          </w:p>
        </w:tc>
        <w:tc>
          <w:tcPr>
            <w:tcW w:w="1412" w:type="pct"/>
          </w:tcPr>
          <w:p w14:paraId="12559752" w14:textId="5A60A598"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Count of quality filtered sequences belonging to each operational taxonomic unit (rows) for Peter Lake.</w:t>
            </w:r>
          </w:p>
        </w:tc>
        <w:tc>
          <w:tcPr>
            <w:tcW w:w="642" w:type="pct"/>
          </w:tcPr>
          <w:p w14:paraId="789AE945" w14:textId="5C9FA3F3"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Sequences</w:t>
            </w:r>
          </w:p>
        </w:tc>
        <w:tc>
          <w:tcPr>
            <w:tcW w:w="770" w:type="pct"/>
          </w:tcPr>
          <w:p w14:paraId="69F3FD04" w14:textId="73617B6A"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NA</w:t>
            </w:r>
          </w:p>
        </w:tc>
        <w:tc>
          <w:tcPr>
            <w:tcW w:w="597" w:type="pct"/>
          </w:tcPr>
          <w:p w14:paraId="503E7385" w14:textId="7DC87F0D"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 xml:space="preserve">Integer </w:t>
            </w:r>
          </w:p>
        </w:tc>
        <w:tc>
          <w:tcPr>
            <w:tcW w:w="541" w:type="pct"/>
          </w:tcPr>
          <w:p w14:paraId="06E292D5" w14:textId="0FBF0525"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NA</w:t>
            </w:r>
          </w:p>
        </w:tc>
      </w:tr>
      <w:tr w:rsidR="00F36DA2" w:rsidRPr="0017567B" w14:paraId="5ED34BED" w14:textId="77777777" w:rsidTr="00506BB6">
        <w:trPr>
          <w:trHeight w:val="300"/>
        </w:trPr>
        <w:tc>
          <w:tcPr>
            <w:tcW w:w="1037" w:type="pct"/>
            <w:noWrap/>
          </w:tcPr>
          <w:p w14:paraId="0FFC9C9C" w14:textId="72A402F5"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TU</w:t>
            </w:r>
          </w:p>
        </w:tc>
        <w:tc>
          <w:tcPr>
            <w:tcW w:w="1412" w:type="pct"/>
          </w:tcPr>
          <w:p w14:paraId="6910BD26" w14:textId="2A6A645F"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 xml:space="preserve">Count of quality filtered sequences belonging to each operational taxonomic unit (rows) for Tuesday Lake.  </w:t>
            </w:r>
          </w:p>
        </w:tc>
        <w:tc>
          <w:tcPr>
            <w:tcW w:w="642" w:type="pct"/>
          </w:tcPr>
          <w:p w14:paraId="423548A6" w14:textId="6499EDE8"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Sequences</w:t>
            </w:r>
          </w:p>
        </w:tc>
        <w:tc>
          <w:tcPr>
            <w:tcW w:w="770" w:type="pct"/>
          </w:tcPr>
          <w:p w14:paraId="1130ED16" w14:textId="0048D206"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NA</w:t>
            </w:r>
          </w:p>
        </w:tc>
        <w:tc>
          <w:tcPr>
            <w:tcW w:w="597" w:type="pct"/>
          </w:tcPr>
          <w:p w14:paraId="1D04243C" w14:textId="04ADE382"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 xml:space="preserve">Integer </w:t>
            </w:r>
          </w:p>
        </w:tc>
        <w:tc>
          <w:tcPr>
            <w:tcW w:w="541" w:type="pct"/>
          </w:tcPr>
          <w:p w14:paraId="42EED0F6" w14:textId="1DFDB5F7"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NA</w:t>
            </w:r>
          </w:p>
        </w:tc>
      </w:tr>
      <w:tr w:rsidR="00F36DA2" w:rsidRPr="0017567B" w14:paraId="1172F1F9" w14:textId="77777777" w:rsidTr="00506BB6">
        <w:trPr>
          <w:trHeight w:val="300"/>
        </w:trPr>
        <w:tc>
          <w:tcPr>
            <w:tcW w:w="1037" w:type="pct"/>
            <w:noWrap/>
          </w:tcPr>
          <w:p w14:paraId="677F8B3E" w14:textId="4A2BE3C3"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WL</w:t>
            </w:r>
          </w:p>
        </w:tc>
        <w:tc>
          <w:tcPr>
            <w:tcW w:w="1412" w:type="pct"/>
          </w:tcPr>
          <w:p w14:paraId="230DB38D" w14:textId="1EF70099"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 xml:space="preserve">Count of quality filtered sequences belonging to each operational taxonomic unit (rows) for West Long Lake.  </w:t>
            </w:r>
          </w:p>
        </w:tc>
        <w:tc>
          <w:tcPr>
            <w:tcW w:w="642" w:type="pct"/>
          </w:tcPr>
          <w:p w14:paraId="5FADDC85" w14:textId="1AAA178E"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Sequences</w:t>
            </w:r>
          </w:p>
        </w:tc>
        <w:tc>
          <w:tcPr>
            <w:tcW w:w="770" w:type="pct"/>
          </w:tcPr>
          <w:p w14:paraId="2BF1D247" w14:textId="0A565039"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NA</w:t>
            </w:r>
          </w:p>
        </w:tc>
        <w:tc>
          <w:tcPr>
            <w:tcW w:w="597" w:type="pct"/>
          </w:tcPr>
          <w:p w14:paraId="771CC036" w14:textId="2C503F93"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 xml:space="preserve">Integer </w:t>
            </w:r>
          </w:p>
        </w:tc>
        <w:tc>
          <w:tcPr>
            <w:tcW w:w="541" w:type="pct"/>
          </w:tcPr>
          <w:p w14:paraId="2506D054" w14:textId="1DA3ABF8"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NA</w:t>
            </w:r>
          </w:p>
        </w:tc>
      </w:tr>
      <w:tr w:rsidR="00F36DA2" w:rsidRPr="0017567B" w14:paraId="6F9328FE" w14:textId="77777777" w:rsidTr="00506BB6">
        <w:trPr>
          <w:trHeight w:val="300"/>
        </w:trPr>
        <w:tc>
          <w:tcPr>
            <w:tcW w:w="1037" w:type="pct"/>
            <w:noWrap/>
          </w:tcPr>
          <w:p w14:paraId="53C2BDA9" w14:textId="24867B74" w:rsidR="00FB31EB" w:rsidRPr="00F36DA2" w:rsidRDefault="00FB31EB" w:rsidP="00FB31EB">
            <w:pPr>
              <w:spacing w:after="0" w:line="240" w:lineRule="auto"/>
              <w:rPr>
                <w:rFonts w:asciiTheme="minorHAnsi" w:hAnsiTheme="minorHAnsi"/>
                <w:sz w:val="20"/>
                <w:szCs w:val="20"/>
              </w:rPr>
            </w:pPr>
            <w:proofErr w:type="spellStart"/>
            <w:r w:rsidRPr="00F36DA2">
              <w:rPr>
                <w:rFonts w:asciiTheme="minorHAnsi" w:hAnsiTheme="minorHAnsi"/>
                <w:sz w:val="20"/>
                <w:szCs w:val="20"/>
              </w:rPr>
              <w:t>Consensus.Lineage</w:t>
            </w:r>
            <w:proofErr w:type="spellEnd"/>
          </w:p>
        </w:tc>
        <w:tc>
          <w:tcPr>
            <w:tcW w:w="1412" w:type="pct"/>
          </w:tcPr>
          <w:p w14:paraId="70F2E49E" w14:textId="797431EE"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 xml:space="preserve">Taxonomic assignment for each operational taxonomic unit, classified against the </w:t>
            </w:r>
            <w:proofErr w:type="spellStart"/>
            <w:r w:rsidRPr="00F36DA2">
              <w:rPr>
                <w:rFonts w:asciiTheme="minorHAnsi" w:hAnsiTheme="minorHAnsi"/>
                <w:sz w:val="20"/>
                <w:szCs w:val="20"/>
              </w:rPr>
              <w:t>Greengenes</w:t>
            </w:r>
            <w:proofErr w:type="spellEnd"/>
            <w:r w:rsidRPr="00F36DA2">
              <w:rPr>
                <w:rFonts w:asciiTheme="minorHAnsi" w:hAnsiTheme="minorHAnsi"/>
                <w:sz w:val="20"/>
                <w:szCs w:val="20"/>
              </w:rPr>
              <w:t xml:space="preserve"> database (version 13.5).</w:t>
            </w:r>
          </w:p>
        </w:tc>
        <w:tc>
          <w:tcPr>
            <w:tcW w:w="642" w:type="pct"/>
          </w:tcPr>
          <w:p w14:paraId="313974A4" w14:textId="31852287"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NA</w:t>
            </w:r>
          </w:p>
        </w:tc>
        <w:tc>
          <w:tcPr>
            <w:tcW w:w="770" w:type="pct"/>
          </w:tcPr>
          <w:p w14:paraId="043C7925" w14:textId="6896083A"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NA</w:t>
            </w:r>
          </w:p>
        </w:tc>
        <w:tc>
          <w:tcPr>
            <w:tcW w:w="597" w:type="pct"/>
          </w:tcPr>
          <w:p w14:paraId="1F003172" w14:textId="73D9BB29"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Character string</w:t>
            </w:r>
          </w:p>
        </w:tc>
        <w:tc>
          <w:tcPr>
            <w:tcW w:w="541" w:type="pct"/>
          </w:tcPr>
          <w:p w14:paraId="6575B44F" w14:textId="0032CF87" w:rsidR="00FB31EB" w:rsidRPr="00F36DA2" w:rsidRDefault="00FB31EB" w:rsidP="00FB31EB">
            <w:pPr>
              <w:spacing w:after="0" w:line="240" w:lineRule="auto"/>
              <w:rPr>
                <w:rFonts w:asciiTheme="minorHAnsi" w:hAnsiTheme="minorHAnsi"/>
                <w:sz w:val="20"/>
                <w:szCs w:val="20"/>
              </w:rPr>
            </w:pPr>
            <w:r w:rsidRPr="00F36DA2">
              <w:rPr>
                <w:rFonts w:asciiTheme="minorHAnsi" w:hAnsiTheme="minorHAnsi"/>
                <w:sz w:val="20"/>
                <w:szCs w:val="20"/>
              </w:rPr>
              <w:t>NA</w:t>
            </w:r>
          </w:p>
        </w:tc>
      </w:tr>
    </w:tbl>
    <w:p w14:paraId="4B2F5E3F" w14:textId="77777777" w:rsidR="00CA274F" w:rsidRDefault="00CA274F" w:rsidP="004A51FC">
      <w:pPr>
        <w:spacing w:line="240" w:lineRule="auto"/>
        <w:contextualSpacing/>
        <w:rPr>
          <w:rFonts w:ascii="Times New Roman" w:hAnsi="Times New Roman"/>
          <w:b/>
        </w:rPr>
      </w:pPr>
    </w:p>
    <w:p w14:paraId="733F6C27" w14:textId="77777777" w:rsidR="00CA274F" w:rsidRDefault="00CA274F" w:rsidP="004A51FC">
      <w:pPr>
        <w:spacing w:line="240" w:lineRule="auto"/>
        <w:contextualSpacing/>
        <w:rPr>
          <w:rFonts w:ascii="Times New Roman" w:hAnsi="Times New Roman"/>
          <w:b/>
        </w:rPr>
      </w:pPr>
    </w:p>
    <w:p w14:paraId="0AD2ECBB" w14:textId="77777777" w:rsidR="001033D4" w:rsidRDefault="00CA274F" w:rsidP="001033D4">
      <w:pPr>
        <w:tabs>
          <w:tab w:val="left" w:pos="7710"/>
        </w:tabs>
        <w:rPr>
          <w:rFonts w:ascii="Times New Roman" w:hAnsi="Times New Roman"/>
          <w:i/>
          <w:color w:val="4F81BD" w:themeColor="accent1"/>
          <w:sz w:val="28"/>
        </w:rPr>
      </w:pPr>
      <w:r>
        <w:rPr>
          <w:rFonts w:ascii="Times New Roman" w:hAnsi="Times New Roman"/>
          <w:b/>
          <w:color w:val="4F81BD" w:themeColor="accent1"/>
          <w:sz w:val="28"/>
        </w:rPr>
        <w:t xml:space="preserve">Table 3. </w:t>
      </w:r>
      <w:r w:rsidR="001033D4">
        <w:rPr>
          <w:rFonts w:ascii="Times New Roman" w:hAnsi="Times New Roman"/>
          <w:b/>
          <w:color w:val="4F81BD" w:themeColor="accent1"/>
          <w:sz w:val="28"/>
        </w:rPr>
        <w:t>Data provenance</w:t>
      </w:r>
    </w:p>
    <w:p w14:paraId="58D07C3A" w14:textId="77777777" w:rsidR="001033D4" w:rsidRDefault="001033D4" w:rsidP="001033D4">
      <w:pPr>
        <w:tabs>
          <w:tab w:val="left" w:pos="7710"/>
        </w:tabs>
        <w:rPr>
          <w:rFonts w:ascii="Times New Roman" w:hAnsi="Times New Roman"/>
        </w:rPr>
      </w:pPr>
      <w:r>
        <w:rPr>
          <w:rFonts w:ascii="Times New Roman" w:hAnsi="Times New Roman"/>
        </w:rPr>
        <w:t>If you used data derived from other sources, provide the information here so future users know where the data came from.</w:t>
      </w:r>
    </w:p>
    <w:tbl>
      <w:tblPr>
        <w:tblStyle w:val="TableGrid"/>
        <w:tblW w:w="8550" w:type="dxa"/>
        <w:tblInd w:w="378" w:type="dxa"/>
        <w:tblLook w:val="04A0" w:firstRow="1" w:lastRow="0" w:firstColumn="1" w:lastColumn="0" w:noHBand="0" w:noVBand="1"/>
      </w:tblPr>
      <w:tblGrid>
        <w:gridCol w:w="2700"/>
        <w:gridCol w:w="2621"/>
        <w:gridCol w:w="2037"/>
        <w:gridCol w:w="1192"/>
      </w:tblGrid>
      <w:tr w:rsidR="00CA274F" w:rsidRPr="0017567B" w14:paraId="5F498BB2" w14:textId="77777777" w:rsidTr="00F36DA2">
        <w:trPr>
          <w:trHeight w:val="315"/>
        </w:trPr>
        <w:tc>
          <w:tcPr>
            <w:tcW w:w="2700" w:type="dxa"/>
            <w:noWrap/>
            <w:hideMark/>
          </w:tcPr>
          <w:p w14:paraId="513AA30C" w14:textId="77777777" w:rsidR="00CA274F" w:rsidRPr="004E223F" w:rsidRDefault="00CA274F" w:rsidP="00124BEA">
            <w:pPr>
              <w:spacing w:after="0" w:line="240" w:lineRule="auto"/>
              <w:rPr>
                <w:rFonts w:asciiTheme="minorHAnsi" w:hAnsiTheme="minorHAnsi"/>
                <w:b/>
                <w:bCs/>
              </w:rPr>
            </w:pPr>
            <w:r w:rsidRPr="004E223F">
              <w:rPr>
                <w:rFonts w:asciiTheme="minorHAnsi" w:hAnsiTheme="minorHAnsi"/>
                <w:b/>
                <w:bCs/>
              </w:rPr>
              <w:t>Dataset title</w:t>
            </w:r>
          </w:p>
        </w:tc>
        <w:tc>
          <w:tcPr>
            <w:tcW w:w="2621" w:type="dxa"/>
            <w:hideMark/>
          </w:tcPr>
          <w:p w14:paraId="518DE55D" w14:textId="77777777" w:rsidR="00CA274F" w:rsidRPr="004E223F" w:rsidRDefault="00CA274F" w:rsidP="00124BEA">
            <w:pPr>
              <w:spacing w:after="0" w:line="240" w:lineRule="auto"/>
              <w:rPr>
                <w:rFonts w:asciiTheme="minorHAnsi" w:hAnsiTheme="minorHAnsi"/>
                <w:b/>
                <w:bCs/>
              </w:rPr>
            </w:pPr>
            <w:r w:rsidRPr="004E223F">
              <w:rPr>
                <w:rFonts w:asciiTheme="minorHAnsi" w:hAnsiTheme="minorHAnsi"/>
                <w:b/>
                <w:bCs/>
              </w:rPr>
              <w:t>Dataset DOI or URL</w:t>
            </w:r>
          </w:p>
        </w:tc>
        <w:tc>
          <w:tcPr>
            <w:tcW w:w="2037" w:type="dxa"/>
          </w:tcPr>
          <w:p w14:paraId="4BA5111A" w14:textId="77777777" w:rsidR="00CA274F" w:rsidRPr="004E223F" w:rsidRDefault="00CA274F" w:rsidP="00124BEA">
            <w:pPr>
              <w:spacing w:after="0" w:line="240" w:lineRule="auto"/>
              <w:rPr>
                <w:rFonts w:asciiTheme="minorHAnsi" w:hAnsiTheme="minorHAnsi"/>
                <w:b/>
                <w:bCs/>
              </w:rPr>
            </w:pPr>
            <w:r w:rsidRPr="004E223F">
              <w:rPr>
                <w:rFonts w:asciiTheme="minorHAnsi" w:hAnsiTheme="minorHAnsi"/>
                <w:b/>
                <w:bCs/>
              </w:rPr>
              <w:t>Creator (name &amp; email)</w:t>
            </w:r>
          </w:p>
        </w:tc>
        <w:tc>
          <w:tcPr>
            <w:tcW w:w="1192" w:type="dxa"/>
          </w:tcPr>
          <w:p w14:paraId="168DF700" w14:textId="77777777" w:rsidR="00CA274F" w:rsidRPr="004E223F" w:rsidRDefault="00CA274F" w:rsidP="00124BEA">
            <w:pPr>
              <w:spacing w:after="0" w:line="240" w:lineRule="auto"/>
              <w:rPr>
                <w:rFonts w:asciiTheme="minorHAnsi" w:hAnsiTheme="minorHAnsi"/>
                <w:b/>
                <w:bCs/>
              </w:rPr>
            </w:pPr>
            <w:r w:rsidRPr="004E223F">
              <w:rPr>
                <w:rFonts w:asciiTheme="minorHAnsi" w:hAnsiTheme="minorHAnsi"/>
                <w:b/>
                <w:bCs/>
              </w:rPr>
              <w:t>Contact (name &amp; email)</w:t>
            </w:r>
          </w:p>
        </w:tc>
      </w:tr>
      <w:tr w:rsidR="00CA274F" w:rsidRPr="0017567B" w14:paraId="5E2EC176" w14:textId="77777777" w:rsidTr="00F36DA2">
        <w:trPr>
          <w:trHeight w:val="305"/>
        </w:trPr>
        <w:tc>
          <w:tcPr>
            <w:tcW w:w="2700" w:type="dxa"/>
            <w:noWrap/>
          </w:tcPr>
          <w:p w14:paraId="23811D8F" w14:textId="0C3CF770" w:rsidR="00CA274F" w:rsidRPr="004E223F" w:rsidRDefault="00FB31EB" w:rsidP="00124BEA">
            <w:pPr>
              <w:spacing w:after="0" w:line="240" w:lineRule="auto"/>
              <w:rPr>
                <w:rFonts w:asciiTheme="minorHAnsi" w:hAnsiTheme="minorHAnsi"/>
                <w:sz w:val="20"/>
              </w:rPr>
            </w:pPr>
            <w:r w:rsidRPr="004E223F">
              <w:rPr>
                <w:rFonts w:asciiTheme="minorHAnsi" w:hAnsiTheme="minorHAnsi"/>
                <w:sz w:val="20"/>
              </w:rPr>
              <w:t>NA</w:t>
            </w:r>
          </w:p>
        </w:tc>
        <w:tc>
          <w:tcPr>
            <w:tcW w:w="2621" w:type="dxa"/>
          </w:tcPr>
          <w:p w14:paraId="2B57AE06" w14:textId="3DF6C615" w:rsidR="00CA274F" w:rsidRPr="004E223F" w:rsidRDefault="00FB31EB" w:rsidP="00124BEA">
            <w:pPr>
              <w:spacing w:after="0" w:line="240" w:lineRule="auto"/>
              <w:rPr>
                <w:rFonts w:asciiTheme="minorHAnsi" w:hAnsiTheme="minorHAnsi"/>
                <w:sz w:val="20"/>
              </w:rPr>
            </w:pPr>
            <w:r w:rsidRPr="004E223F">
              <w:rPr>
                <w:rFonts w:asciiTheme="minorHAnsi" w:hAnsiTheme="minorHAnsi"/>
                <w:sz w:val="20"/>
              </w:rPr>
              <w:t>NA</w:t>
            </w:r>
          </w:p>
        </w:tc>
        <w:tc>
          <w:tcPr>
            <w:tcW w:w="2037" w:type="dxa"/>
          </w:tcPr>
          <w:p w14:paraId="5DBBE30F" w14:textId="61A95B67" w:rsidR="00CA274F" w:rsidRPr="004E223F" w:rsidRDefault="00FB31EB" w:rsidP="00124BEA">
            <w:pPr>
              <w:spacing w:after="0" w:line="240" w:lineRule="auto"/>
              <w:rPr>
                <w:rFonts w:asciiTheme="minorHAnsi" w:hAnsiTheme="minorHAnsi"/>
                <w:sz w:val="20"/>
              </w:rPr>
            </w:pPr>
            <w:r w:rsidRPr="004E223F">
              <w:rPr>
                <w:rFonts w:asciiTheme="minorHAnsi" w:hAnsiTheme="minorHAnsi"/>
                <w:sz w:val="20"/>
              </w:rPr>
              <w:t>NA</w:t>
            </w:r>
          </w:p>
        </w:tc>
        <w:tc>
          <w:tcPr>
            <w:tcW w:w="1192" w:type="dxa"/>
          </w:tcPr>
          <w:p w14:paraId="0C02B036" w14:textId="4226EFFA" w:rsidR="00CA274F" w:rsidRPr="004E223F" w:rsidRDefault="00FB31EB" w:rsidP="00124BEA">
            <w:pPr>
              <w:spacing w:after="0" w:line="240" w:lineRule="auto"/>
              <w:rPr>
                <w:rFonts w:asciiTheme="minorHAnsi" w:hAnsiTheme="minorHAnsi"/>
                <w:sz w:val="20"/>
              </w:rPr>
            </w:pPr>
            <w:r w:rsidRPr="004E223F">
              <w:rPr>
                <w:rFonts w:asciiTheme="minorHAnsi" w:hAnsiTheme="minorHAnsi"/>
                <w:sz w:val="20"/>
              </w:rPr>
              <w:t>NA</w:t>
            </w:r>
          </w:p>
        </w:tc>
      </w:tr>
    </w:tbl>
    <w:p w14:paraId="73DEE13D" w14:textId="77777777" w:rsidR="00FB31EB" w:rsidRDefault="00FB31EB" w:rsidP="008A5C3C">
      <w:pPr>
        <w:tabs>
          <w:tab w:val="left" w:pos="7710"/>
        </w:tabs>
        <w:rPr>
          <w:rFonts w:ascii="Times New Roman" w:hAnsi="Times New Roman"/>
          <w:b/>
          <w:color w:val="4F81BD" w:themeColor="accent1"/>
          <w:sz w:val="28"/>
        </w:rPr>
      </w:pPr>
    </w:p>
    <w:p w14:paraId="281BD2DB" w14:textId="6AD120A9" w:rsidR="001033D4" w:rsidRDefault="001033D4" w:rsidP="008A5C3C">
      <w:pPr>
        <w:tabs>
          <w:tab w:val="left" w:pos="7710"/>
        </w:tabs>
        <w:rPr>
          <w:rFonts w:ascii="Times New Roman" w:hAnsi="Times New Roman"/>
          <w:i/>
          <w:color w:val="4F81BD" w:themeColor="accent1"/>
          <w:sz w:val="28"/>
        </w:rPr>
      </w:pPr>
      <w:r>
        <w:rPr>
          <w:rFonts w:ascii="Times New Roman" w:hAnsi="Times New Roman"/>
          <w:b/>
          <w:color w:val="4F81BD" w:themeColor="accent1"/>
          <w:sz w:val="28"/>
        </w:rPr>
        <w:t xml:space="preserve">Scripts/code (software) – </w:t>
      </w:r>
      <w:r>
        <w:rPr>
          <w:rFonts w:ascii="Times New Roman" w:hAnsi="Times New Roman"/>
          <w:i/>
          <w:color w:val="4F81BD" w:themeColor="accent1"/>
          <w:sz w:val="28"/>
        </w:rPr>
        <w:t>OPTIONAL</w:t>
      </w:r>
    </w:p>
    <w:p w14:paraId="4E74D674" w14:textId="77777777" w:rsidR="008A5C3C" w:rsidRDefault="001033D4" w:rsidP="008A5C3C">
      <w:pPr>
        <w:tabs>
          <w:tab w:val="left" w:pos="7710"/>
        </w:tabs>
        <w:rPr>
          <w:rFonts w:ascii="Times New Roman" w:hAnsi="Times New Roman"/>
        </w:rPr>
      </w:pPr>
      <w:r>
        <w:rPr>
          <w:rFonts w:ascii="Times New Roman" w:hAnsi="Times New Roman"/>
        </w:rPr>
        <w:t>It is recommended that you also provide your scripts along with your data, although it is not required at this time in our journal.</w:t>
      </w:r>
    </w:p>
    <w:tbl>
      <w:tblPr>
        <w:tblStyle w:val="TableGrid"/>
        <w:tblW w:w="8370" w:type="dxa"/>
        <w:tblInd w:w="378" w:type="dxa"/>
        <w:tblLook w:val="04A0" w:firstRow="1" w:lastRow="0" w:firstColumn="1" w:lastColumn="0" w:noHBand="0" w:noVBand="1"/>
      </w:tblPr>
      <w:tblGrid>
        <w:gridCol w:w="2700"/>
        <w:gridCol w:w="3240"/>
        <w:gridCol w:w="2430"/>
      </w:tblGrid>
      <w:tr w:rsidR="001033D4" w:rsidRPr="0017567B" w14:paraId="7AD13DA6" w14:textId="77777777" w:rsidTr="001033D4">
        <w:trPr>
          <w:trHeight w:val="315"/>
        </w:trPr>
        <w:tc>
          <w:tcPr>
            <w:tcW w:w="2700" w:type="dxa"/>
            <w:noWrap/>
            <w:hideMark/>
          </w:tcPr>
          <w:p w14:paraId="7353F123" w14:textId="77777777" w:rsidR="001033D4" w:rsidRPr="004E223F" w:rsidRDefault="001033D4" w:rsidP="00124BEA">
            <w:pPr>
              <w:spacing w:after="0" w:line="240" w:lineRule="auto"/>
              <w:rPr>
                <w:rFonts w:asciiTheme="minorHAnsi" w:hAnsiTheme="minorHAnsi"/>
                <w:b/>
                <w:bCs/>
              </w:rPr>
            </w:pPr>
            <w:r w:rsidRPr="004E223F">
              <w:rPr>
                <w:rFonts w:asciiTheme="minorHAnsi" w:hAnsiTheme="minorHAnsi"/>
                <w:b/>
                <w:bCs/>
              </w:rPr>
              <w:t>File name</w:t>
            </w:r>
          </w:p>
        </w:tc>
        <w:tc>
          <w:tcPr>
            <w:tcW w:w="3240" w:type="dxa"/>
            <w:hideMark/>
          </w:tcPr>
          <w:p w14:paraId="7656B31D" w14:textId="77777777" w:rsidR="001033D4" w:rsidRPr="004E223F" w:rsidRDefault="001033D4" w:rsidP="00124BEA">
            <w:pPr>
              <w:spacing w:after="0" w:line="240" w:lineRule="auto"/>
              <w:rPr>
                <w:rFonts w:asciiTheme="minorHAnsi" w:hAnsiTheme="minorHAnsi"/>
                <w:b/>
                <w:bCs/>
              </w:rPr>
            </w:pPr>
            <w:r w:rsidRPr="004E223F">
              <w:rPr>
                <w:rFonts w:asciiTheme="minorHAnsi" w:hAnsiTheme="minorHAnsi"/>
                <w:b/>
                <w:bCs/>
              </w:rPr>
              <w:t>Description</w:t>
            </w:r>
          </w:p>
        </w:tc>
        <w:tc>
          <w:tcPr>
            <w:tcW w:w="2430" w:type="dxa"/>
          </w:tcPr>
          <w:p w14:paraId="772252D9" w14:textId="77777777" w:rsidR="001033D4" w:rsidRPr="004E223F" w:rsidRDefault="001033D4" w:rsidP="00124BEA">
            <w:pPr>
              <w:spacing w:after="0" w:line="240" w:lineRule="auto"/>
              <w:rPr>
                <w:rFonts w:asciiTheme="minorHAnsi" w:hAnsiTheme="minorHAnsi"/>
                <w:b/>
                <w:bCs/>
              </w:rPr>
            </w:pPr>
            <w:r w:rsidRPr="004E223F">
              <w:rPr>
                <w:rFonts w:asciiTheme="minorHAnsi" w:hAnsiTheme="minorHAnsi"/>
                <w:b/>
                <w:bCs/>
              </w:rPr>
              <w:t>Scripting language</w:t>
            </w:r>
          </w:p>
        </w:tc>
      </w:tr>
      <w:tr w:rsidR="001033D4" w:rsidRPr="0017567B" w14:paraId="49720088" w14:textId="77777777" w:rsidTr="001033D4">
        <w:trPr>
          <w:trHeight w:val="305"/>
        </w:trPr>
        <w:tc>
          <w:tcPr>
            <w:tcW w:w="2700" w:type="dxa"/>
            <w:noWrap/>
          </w:tcPr>
          <w:p w14:paraId="4836FC05" w14:textId="014253CD" w:rsidR="001033D4" w:rsidRPr="004E223F" w:rsidRDefault="00FB31EB" w:rsidP="00124BEA">
            <w:pPr>
              <w:spacing w:after="0" w:line="240" w:lineRule="auto"/>
              <w:rPr>
                <w:rFonts w:asciiTheme="minorHAnsi" w:hAnsiTheme="minorHAnsi"/>
                <w:sz w:val="20"/>
              </w:rPr>
            </w:pPr>
            <w:r w:rsidRPr="004E223F">
              <w:rPr>
                <w:rFonts w:asciiTheme="minorHAnsi" w:hAnsiTheme="minorHAnsi"/>
                <w:sz w:val="20"/>
              </w:rPr>
              <w:t>MicroRegCH4-StatsCode.R</w:t>
            </w:r>
          </w:p>
        </w:tc>
        <w:tc>
          <w:tcPr>
            <w:tcW w:w="3240" w:type="dxa"/>
          </w:tcPr>
          <w:p w14:paraId="006F2942" w14:textId="28CB45E7" w:rsidR="001033D4" w:rsidRPr="004E223F" w:rsidRDefault="00FB31EB" w:rsidP="00124BEA">
            <w:pPr>
              <w:spacing w:after="0" w:line="240" w:lineRule="auto"/>
              <w:rPr>
                <w:rFonts w:asciiTheme="minorHAnsi" w:hAnsiTheme="minorHAnsi"/>
                <w:sz w:val="20"/>
              </w:rPr>
            </w:pPr>
            <w:r w:rsidRPr="004E223F">
              <w:rPr>
                <w:rFonts w:asciiTheme="minorHAnsi" w:hAnsiTheme="minorHAnsi"/>
                <w:sz w:val="20"/>
              </w:rPr>
              <w:t>Code for all statistical analyses</w:t>
            </w:r>
          </w:p>
        </w:tc>
        <w:tc>
          <w:tcPr>
            <w:tcW w:w="2430" w:type="dxa"/>
          </w:tcPr>
          <w:p w14:paraId="438E697F" w14:textId="19457B7F" w:rsidR="001033D4" w:rsidRPr="004E223F" w:rsidRDefault="00FB31EB" w:rsidP="00124BEA">
            <w:pPr>
              <w:spacing w:after="0" w:line="240" w:lineRule="auto"/>
              <w:rPr>
                <w:rFonts w:asciiTheme="minorHAnsi" w:hAnsiTheme="minorHAnsi"/>
                <w:sz w:val="20"/>
              </w:rPr>
            </w:pPr>
            <w:r w:rsidRPr="004E223F">
              <w:rPr>
                <w:rFonts w:asciiTheme="minorHAnsi" w:hAnsiTheme="minorHAnsi"/>
                <w:sz w:val="20"/>
              </w:rPr>
              <w:t>R</w:t>
            </w:r>
          </w:p>
        </w:tc>
      </w:tr>
      <w:tr w:rsidR="001033D4" w:rsidRPr="0017567B" w14:paraId="020E2C18" w14:textId="77777777" w:rsidTr="001033D4">
        <w:trPr>
          <w:trHeight w:val="300"/>
        </w:trPr>
        <w:tc>
          <w:tcPr>
            <w:tcW w:w="2700" w:type="dxa"/>
            <w:noWrap/>
          </w:tcPr>
          <w:p w14:paraId="358B4D14" w14:textId="3D5E535E" w:rsidR="001033D4" w:rsidRPr="004E223F" w:rsidRDefault="00FB31EB" w:rsidP="00124BEA">
            <w:pPr>
              <w:spacing w:after="0" w:line="240" w:lineRule="auto"/>
              <w:rPr>
                <w:rFonts w:asciiTheme="minorHAnsi" w:hAnsiTheme="minorHAnsi"/>
                <w:sz w:val="20"/>
              </w:rPr>
            </w:pPr>
            <w:r w:rsidRPr="004E223F">
              <w:rPr>
                <w:rFonts w:asciiTheme="minorHAnsi" w:hAnsiTheme="minorHAnsi"/>
                <w:sz w:val="20"/>
              </w:rPr>
              <w:t>MicroRegCH4-OTUpicking.sh</w:t>
            </w:r>
          </w:p>
        </w:tc>
        <w:tc>
          <w:tcPr>
            <w:tcW w:w="3240" w:type="dxa"/>
          </w:tcPr>
          <w:p w14:paraId="3C18D2C8" w14:textId="4EDCDFE5" w:rsidR="001033D4" w:rsidRPr="004E223F" w:rsidRDefault="00FB31EB" w:rsidP="00124BEA">
            <w:pPr>
              <w:spacing w:after="0" w:line="240" w:lineRule="auto"/>
              <w:rPr>
                <w:rFonts w:asciiTheme="minorHAnsi" w:hAnsiTheme="minorHAnsi"/>
                <w:sz w:val="20"/>
              </w:rPr>
            </w:pPr>
            <w:r w:rsidRPr="004E223F">
              <w:rPr>
                <w:rFonts w:asciiTheme="minorHAnsi" w:hAnsiTheme="minorHAnsi"/>
                <w:sz w:val="20"/>
              </w:rPr>
              <w:t>Code for generating operational taxonomic unit sequence count data</w:t>
            </w:r>
          </w:p>
        </w:tc>
        <w:tc>
          <w:tcPr>
            <w:tcW w:w="2430" w:type="dxa"/>
          </w:tcPr>
          <w:p w14:paraId="1F5B0652" w14:textId="75686695" w:rsidR="001033D4" w:rsidRPr="004E223F" w:rsidRDefault="00FB31EB" w:rsidP="00124BEA">
            <w:pPr>
              <w:spacing w:after="0" w:line="240" w:lineRule="auto"/>
              <w:rPr>
                <w:rFonts w:asciiTheme="minorHAnsi" w:hAnsiTheme="minorHAnsi"/>
                <w:sz w:val="20"/>
              </w:rPr>
            </w:pPr>
            <w:r w:rsidRPr="004E223F">
              <w:rPr>
                <w:rFonts w:asciiTheme="minorHAnsi" w:hAnsiTheme="minorHAnsi"/>
                <w:sz w:val="20"/>
              </w:rPr>
              <w:t>bash</w:t>
            </w:r>
          </w:p>
        </w:tc>
      </w:tr>
    </w:tbl>
    <w:p w14:paraId="41A84610" w14:textId="5127C8D3" w:rsidR="00CA274F" w:rsidRDefault="00CA274F" w:rsidP="00CA274F">
      <w:pPr>
        <w:tabs>
          <w:tab w:val="left" w:pos="7710"/>
        </w:tabs>
        <w:rPr>
          <w:rFonts w:ascii="Times New Roman" w:hAnsi="Times New Roman"/>
          <w:b/>
          <w:color w:val="4F81BD" w:themeColor="accent1"/>
          <w:sz w:val="28"/>
        </w:rPr>
      </w:pPr>
    </w:p>
    <w:p w14:paraId="6F94BD3C" w14:textId="77777777" w:rsidR="001033D4" w:rsidRPr="00CA274F" w:rsidRDefault="001033D4" w:rsidP="00CA274F">
      <w:pPr>
        <w:tabs>
          <w:tab w:val="left" w:pos="7710"/>
        </w:tabs>
        <w:rPr>
          <w:rFonts w:ascii="Times New Roman" w:hAnsi="Times New Roman"/>
          <w:i/>
          <w:color w:val="000000" w:themeColor="text1"/>
        </w:rPr>
      </w:pPr>
    </w:p>
    <w:p w14:paraId="382C9671" w14:textId="77777777" w:rsidR="001033D4" w:rsidRPr="001033D4" w:rsidRDefault="001033D4" w:rsidP="001033D4">
      <w:pPr>
        <w:tabs>
          <w:tab w:val="left" w:pos="2160"/>
        </w:tabs>
        <w:rPr>
          <w:rFonts w:ascii="Times New Roman" w:hAnsi="Times New Roman"/>
        </w:rPr>
      </w:pPr>
      <w:r>
        <w:rPr>
          <w:rFonts w:ascii="Times New Roman" w:hAnsi="Times New Roman"/>
        </w:rPr>
        <w:tab/>
      </w:r>
    </w:p>
    <w:sectPr w:rsidR="001033D4" w:rsidRPr="001033D4" w:rsidSect="00FC53DF">
      <w:footerReference w:type="default" r:id="rId10"/>
      <w:headerReference w:type="first" r:id="rId11"/>
      <w:pgSz w:w="12240" w:h="15840"/>
      <w:pgMar w:top="990" w:right="1440" w:bottom="720" w:left="1440" w:header="720"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07C6C" w14:textId="77777777" w:rsidR="00890BA0" w:rsidRDefault="00890BA0" w:rsidP="00B337A9">
      <w:pPr>
        <w:spacing w:after="0" w:line="240" w:lineRule="auto"/>
      </w:pPr>
      <w:r>
        <w:separator/>
      </w:r>
    </w:p>
  </w:endnote>
  <w:endnote w:type="continuationSeparator" w:id="0">
    <w:p w14:paraId="66C418B5" w14:textId="77777777" w:rsidR="00890BA0" w:rsidRDefault="00890BA0" w:rsidP="00B33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E3D35" w14:textId="77777777" w:rsidR="0017567B" w:rsidRPr="008D563A" w:rsidRDefault="00DD51B1">
    <w:pPr>
      <w:pStyle w:val="Footer"/>
      <w:jc w:val="right"/>
      <w:rPr>
        <w:i/>
        <w:color w:val="4F81BD" w:themeColor="accent1"/>
      </w:rPr>
    </w:pPr>
    <w:r w:rsidRPr="001033D4">
      <w:rPr>
        <w:color w:val="4F81BD" w:themeColor="accent1"/>
      </w:rPr>
      <w:t>Metadata form for</w:t>
    </w:r>
    <w:r w:rsidRPr="008D563A">
      <w:rPr>
        <w:i/>
        <w:color w:val="4F81BD" w:themeColor="accent1"/>
      </w:rPr>
      <w:t xml:space="preserve"> L</w:t>
    </w:r>
    <w:r w:rsidR="008D563A">
      <w:rPr>
        <w:i/>
        <w:color w:val="4F81BD" w:themeColor="accent1"/>
      </w:rPr>
      <w:t>&amp;O:</w:t>
    </w:r>
    <w:r w:rsidR="001033D4">
      <w:rPr>
        <w:i/>
        <w:color w:val="4F81BD" w:themeColor="accent1"/>
      </w:rPr>
      <w:t xml:space="preserve"> </w:t>
    </w:r>
    <w:r w:rsidRPr="008D563A">
      <w:rPr>
        <w:i/>
        <w:color w:val="4F81BD" w:themeColor="accent1"/>
      </w:rPr>
      <w:t>Letters</w:t>
    </w:r>
    <w:r w:rsidRPr="008D563A">
      <w:rPr>
        <w:i/>
        <w:color w:val="4F81BD" w:themeColor="accent1"/>
      </w:rPr>
      <w:tab/>
    </w:r>
    <w:r w:rsidRPr="008D563A">
      <w:rPr>
        <w:i/>
        <w:color w:val="4F81BD" w:themeColor="accent1"/>
      </w:rPr>
      <w:tab/>
    </w:r>
    <w:r w:rsidR="008D563A" w:rsidRPr="008D563A">
      <w:rPr>
        <w:i/>
        <w:color w:val="4F81BD" w:themeColor="accent1"/>
      </w:rPr>
      <w:t>Updated 3/5/2019</w:t>
    </w:r>
    <w:r w:rsidRPr="008D563A">
      <w:rPr>
        <w:i/>
        <w:color w:val="4F81BD" w:themeColor="accent1"/>
      </w:rPr>
      <w:t xml:space="preserve">                  </w:t>
    </w:r>
    <w:r w:rsidR="0017567B" w:rsidRPr="008D563A">
      <w:rPr>
        <w:i/>
        <w:color w:val="4F81BD" w:themeColor="accent1"/>
      </w:rPr>
      <w:fldChar w:fldCharType="begin"/>
    </w:r>
    <w:r w:rsidR="0017567B" w:rsidRPr="008D563A">
      <w:rPr>
        <w:i/>
        <w:color w:val="4F81BD" w:themeColor="accent1"/>
      </w:rPr>
      <w:instrText xml:space="preserve"> PAGE   \* MERGEFORMAT </w:instrText>
    </w:r>
    <w:r w:rsidR="0017567B" w:rsidRPr="008D563A">
      <w:rPr>
        <w:i/>
        <w:color w:val="4F81BD" w:themeColor="accent1"/>
      </w:rPr>
      <w:fldChar w:fldCharType="separate"/>
    </w:r>
    <w:r w:rsidR="0002394C" w:rsidRPr="008D563A">
      <w:rPr>
        <w:i/>
        <w:noProof/>
        <w:color w:val="4F81BD" w:themeColor="accent1"/>
      </w:rPr>
      <w:t>2</w:t>
    </w:r>
    <w:r w:rsidR="0017567B" w:rsidRPr="008D563A">
      <w:rPr>
        <w:i/>
        <w:color w:val="4F81BD" w:themeColor="accent1"/>
      </w:rPr>
      <w:fldChar w:fldCharType="end"/>
    </w:r>
  </w:p>
  <w:p w14:paraId="654F04BA" w14:textId="77777777" w:rsidR="00AC325B" w:rsidRDefault="00AC3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43968" w14:textId="77777777" w:rsidR="00890BA0" w:rsidRDefault="00890BA0" w:rsidP="00B337A9">
      <w:pPr>
        <w:spacing w:after="0" w:line="240" w:lineRule="auto"/>
      </w:pPr>
      <w:r>
        <w:separator/>
      </w:r>
    </w:p>
  </w:footnote>
  <w:footnote w:type="continuationSeparator" w:id="0">
    <w:p w14:paraId="7A301591" w14:textId="77777777" w:rsidR="00890BA0" w:rsidRDefault="00890BA0" w:rsidP="00B337A9">
      <w:pPr>
        <w:spacing w:after="0" w:line="240" w:lineRule="auto"/>
      </w:pPr>
      <w:r>
        <w:continuationSeparator/>
      </w:r>
    </w:p>
  </w:footnote>
  <w:footnote w:id="1">
    <w:p w14:paraId="6BB39473" w14:textId="77777777" w:rsidR="00BF5E69" w:rsidRDefault="008D563A">
      <w:pPr>
        <w:pStyle w:val="FootnoteText"/>
      </w:pPr>
      <w:r w:rsidRPr="008D563A">
        <w:rPr>
          <w:rStyle w:val="FootnoteReference"/>
          <w:i/>
        </w:rPr>
        <w:footnoteRef/>
      </w:r>
      <w:r w:rsidRPr="008D563A">
        <w:rPr>
          <w:i/>
        </w:rPr>
        <w:t xml:space="preserve"> This document liberally borrows from a similar document provided by the Environmental Data Initiative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FBF71" w14:textId="77777777" w:rsidR="00155789" w:rsidRDefault="00155789">
    <w:pPr>
      <w:pStyle w:val="Header"/>
    </w:pPr>
    <w:r>
      <w:t>Template – 9/7/15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FF681E"/>
    <w:multiLevelType w:val="hybridMultilevel"/>
    <w:tmpl w:val="06D2DF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5EE128B7"/>
    <w:multiLevelType w:val="hybridMultilevel"/>
    <w:tmpl w:val="70A4C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B16464"/>
    <w:multiLevelType w:val="hybridMultilevel"/>
    <w:tmpl w:val="52502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DD0836"/>
    <w:multiLevelType w:val="hybridMultilevel"/>
    <w:tmpl w:val="4A58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86168E"/>
    <w:rsid w:val="00015588"/>
    <w:rsid w:val="0001723C"/>
    <w:rsid w:val="000215D8"/>
    <w:rsid w:val="0002394C"/>
    <w:rsid w:val="000241AC"/>
    <w:rsid w:val="00035B72"/>
    <w:rsid w:val="000422AF"/>
    <w:rsid w:val="00053FB7"/>
    <w:rsid w:val="00056F55"/>
    <w:rsid w:val="0006456E"/>
    <w:rsid w:val="0007259F"/>
    <w:rsid w:val="000735C5"/>
    <w:rsid w:val="0009116F"/>
    <w:rsid w:val="000B71AD"/>
    <w:rsid w:val="000C67D1"/>
    <w:rsid w:val="000C7C79"/>
    <w:rsid w:val="000F41AC"/>
    <w:rsid w:val="000F7D91"/>
    <w:rsid w:val="001033D4"/>
    <w:rsid w:val="001050E6"/>
    <w:rsid w:val="00124BEA"/>
    <w:rsid w:val="00130CF1"/>
    <w:rsid w:val="001347BB"/>
    <w:rsid w:val="0014542F"/>
    <w:rsid w:val="00151DAE"/>
    <w:rsid w:val="00153044"/>
    <w:rsid w:val="00155789"/>
    <w:rsid w:val="00161206"/>
    <w:rsid w:val="00167E01"/>
    <w:rsid w:val="0017567B"/>
    <w:rsid w:val="00176F3C"/>
    <w:rsid w:val="00183C39"/>
    <w:rsid w:val="00195DEE"/>
    <w:rsid w:val="001970B1"/>
    <w:rsid w:val="001A10E9"/>
    <w:rsid w:val="001D2769"/>
    <w:rsid w:val="001D49E5"/>
    <w:rsid w:val="001E1DB0"/>
    <w:rsid w:val="0023289B"/>
    <w:rsid w:val="00241B0B"/>
    <w:rsid w:val="00250C1A"/>
    <w:rsid w:val="002523F3"/>
    <w:rsid w:val="002538D1"/>
    <w:rsid w:val="00260A92"/>
    <w:rsid w:val="0027463E"/>
    <w:rsid w:val="002B22E5"/>
    <w:rsid w:val="002B3B4B"/>
    <w:rsid w:val="002B5BEA"/>
    <w:rsid w:val="002C2CAD"/>
    <w:rsid w:val="002D34FA"/>
    <w:rsid w:val="002E0071"/>
    <w:rsid w:val="002E4940"/>
    <w:rsid w:val="002E5326"/>
    <w:rsid w:val="0031064F"/>
    <w:rsid w:val="003112DB"/>
    <w:rsid w:val="0031346F"/>
    <w:rsid w:val="00317705"/>
    <w:rsid w:val="00330CFD"/>
    <w:rsid w:val="00333459"/>
    <w:rsid w:val="00345971"/>
    <w:rsid w:val="00345B23"/>
    <w:rsid w:val="00366964"/>
    <w:rsid w:val="00376645"/>
    <w:rsid w:val="00392C83"/>
    <w:rsid w:val="003A410F"/>
    <w:rsid w:val="003B3707"/>
    <w:rsid w:val="003B6202"/>
    <w:rsid w:val="003C62DF"/>
    <w:rsid w:val="003E0FE5"/>
    <w:rsid w:val="003E320E"/>
    <w:rsid w:val="003F277F"/>
    <w:rsid w:val="003F5326"/>
    <w:rsid w:val="00403A82"/>
    <w:rsid w:val="0040717C"/>
    <w:rsid w:val="00410032"/>
    <w:rsid w:val="00410D18"/>
    <w:rsid w:val="00423961"/>
    <w:rsid w:val="00424821"/>
    <w:rsid w:val="0042677D"/>
    <w:rsid w:val="00426913"/>
    <w:rsid w:val="0044671E"/>
    <w:rsid w:val="00490857"/>
    <w:rsid w:val="0049476D"/>
    <w:rsid w:val="004A51FC"/>
    <w:rsid w:val="004C0EB4"/>
    <w:rsid w:val="004C57C7"/>
    <w:rsid w:val="004D2D20"/>
    <w:rsid w:val="004E0AE2"/>
    <w:rsid w:val="004E223F"/>
    <w:rsid w:val="004F0FE6"/>
    <w:rsid w:val="004F3177"/>
    <w:rsid w:val="004F49F9"/>
    <w:rsid w:val="00503B27"/>
    <w:rsid w:val="00504869"/>
    <w:rsid w:val="00506BB6"/>
    <w:rsid w:val="005220EF"/>
    <w:rsid w:val="00526239"/>
    <w:rsid w:val="0053754D"/>
    <w:rsid w:val="0054321D"/>
    <w:rsid w:val="0054755A"/>
    <w:rsid w:val="0055326C"/>
    <w:rsid w:val="00590C9D"/>
    <w:rsid w:val="005963E2"/>
    <w:rsid w:val="005B379E"/>
    <w:rsid w:val="005C7797"/>
    <w:rsid w:val="005D262F"/>
    <w:rsid w:val="005F1C13"/>
    <w:rsid w:val="00604819"/>
    <w:rsid w:val="006214AE"/>
    <w:rsid w:val="006224DE"/>
    <w:rsid w:val="00622DDD"/>
    <w:rsid w:val="00635244"/>
    <w:rsid w:val="00642F66"/>
    <w:rsid w:val="00643CE1"/>
    <w:rsid w:val="00647AF0"/>
    <w:rsid w:val="0065006A"/>
    <w:rsid w:val="006643CB"/>
    <w:rsid w:val="00675A02"/>
    <w:rsid w:val="0068505F"/>
    <w:rsid w:val="006A5063"/>
    <w:rsid w:val="006A782F"/>
    <w:rsid w:val="006B2499"/>
    <w:rsid w:val="006C2259"/>
    <w:rsid w:val="006C4764"/>
    <w:rsid w:val="006D5502"/>
    <w:rsid w:val="006F7157"/>
    <w:rsid w:val="00702E9A"/>
    <w:rsid w:val="00707080"/>
    <w:rsid w:val="0071456B"/>
    <w:rsid w:val="00722AA5"/>
    <w:rsid w:val="007238FD"/>
    <w:rsid w:val="00726C4F"/>
    <w:rsid w:val="00734BC6"/>
    <w:rsid w:val="007472A8"/>
    <w:rsid w:val="007715E3"/>
    <w:rsid w:val="00791D44"/>
    <w:rsid w:val="007C0508"/>
    <w:rsid w:val="007D43CF"/>
    <w:rsid w:val="007E23D0"/>
    <w:rsid w:val="007E24EB"/>
    <w:rsid w:val="007F37A2"/>
    <w:rsid w:val="00804C03"/>
    <w:rsid w:val="00806CC2"/>
    <w:rsid w:val="00827299"/>
    <w:rsid w:val="00830709"/>
    <w:rsid w:val="00830AF3"/>
    <w:rsid w:val="008414A0"/>
    <w:rsid w:val="00842210"/>
    <w:rsid w:val="008523D6"/>
    <w:rsid w:val="008615D4"/>
    <w:rsid w:val="0086168E"/>
    <w:rsid w:val="00874D57"/>
    <w:rsid w:val="008808E3"/>
    <w:rsid w:val="00890BA0"/>
    <w:rsid w:val="008A391A"/>
    <w:rsid w:val="008A5C3C"/>
    <w:rsid w:val="008C01AC"/>
    <w:rsid w:val="008D563A"/>
    <w:rsid w:val="008D5959"/>
    <w:rsid w:val="00902BC6"/>
    <w:rsid w:val="00911C42"/>
    <w:rsid w:val="009222DA"/>
    <w:rsid w:val="00931AB6"/>
    <w:rsid w:val="00940985"/>
    <w:rsid w:val="00943166"/>
    <w:rsid w:val="00947168"/>
    <w:rsid w:val="009A4BD7"/>
    <w:rsid w:val="009A689A"/>
    <w:rsid w:val="009B2675"/>
    <w:rsid w:val="009C52CF"/>
    <w:rsid w:val="009D6656"/>
    <w:rsid w:val="009E0A29"/>
    <w:rsid w:val="009E3279"/>
    <w:rsid w:val="009E352C"/>
    <w:rsid w:val="009F5111"/>
    <w:rsid w:val="00A013C1"/>
    <w:rsid w:val="00A10230"/>
    <w:rsid w:val="00A430AC"/>
    <w:rsid w:val="00A45309"/>
    <w:rsid w:val="00A573C5"/>
    <w:rsid w:val="00A644D8"/>
    <w:rsid w:val="00A73302"/>
    <w:rsid w:val="00A76EF8"/>
    <w:rsid w:val="00AA0C31"/>
    <w:rsid w:val="00AA692C"/>
    <w:rsid w:val="00AB6698"/>
    <w:rsid w:val="00AC325B"/>
    <w:rsid w:val="00AD601C"/>
    <w:rsid w:val="00AE300E"/>
    <w:rsid w:val="00AF2330"/>
    <w:rsid w:val="00B15603"/>
    <w:rsid w:val="00B337A9"/>
    <w:rsid w:val="00B347EA"/>
    <w:rsid w:val="00B3624C"/>
    <w:rsid w:val="00B41BC0"/>
    <w:rsid w:val="00B464F5"/>
    <w:rsid w:val="00B95EFF"/>
    <w:rsid w:val="00BA052C"/>
    <w:rsid w:val="00BA1409"/>
    <w:rsid w:val="00BA7CBF"/>
    <w:rsid w:val="00BB2A01"/>
    <w:rsid w:val="00BC5644"/>
    <w:rsid w:val="00BE3E9D"/>
    <w:rsid w:val="00BF381C"/>
    <w:rsid w:val="00BF5E69"/>
    <w:rsid w:val="00C0298F"/>
    <w:rsid w:val="00C30A2B"/>
    <w:rsid w:val="00C31813"/>
    <w:rsid w:val="00C37A8E"/>
    <w:rsid w:val="00C42C94"/>
    <w:rsid w:val="00C705B7"/>
    <w:rsid w:val="00C835BC"/>
    <w:rsid w:val="00CA274F"/>
    <w:rsid w:val="00CC7294"/>
    <w:rsid w:val="00CE04F6"/>
    <w:rsid w:val="00CE0690"/>
    <w:rsid w:val="00CF4A39"/>
    <w:rsid w:val="00D0414F"/>
    <w:rsid w:val="00D05F7C"/>
    <w:rsid w:val="00D07006"/>
    <w:rsid w:val="00D23343"/>
    <w:rsid w:val="00D26834"/>
    <w:rsid w:val="00D406CF"/>
    <w:rsid w:val="00D45346"/>
    <w:rsid w:val="00D462E2"/>
    <w:rsid w:val="00D5386F"/>
    <w:rsid w:val="00D60162"/>
    <w:rsid w:val="00D66BC0"/>
    <w:rsid w:val="00D66D27"/>
    <w:rsid w:val="00D81346"/>
    <w:rsid w:val="00D87E5B"/>
    <w:rsid w:val="00D909EF"/>
    <w:rsid w:val="00D94B26"/>
    <w:rsid w:val="00D95A4B"/>
    <w:rsid w:val="00D960EB"/>
    <w:rsid w:val="00D97802"/>
    <w:rsid w:val="00DA4F29"/>
    <w:rsid w:val="00DB3B02"/>
    <w:rsid w:val="00DB4D13"/>
    <w:rsid w:val="00DC1E8D"/>
    <w:rsid w:val="00DC5ADF"/>
    <w:rsid w:val="00DC72DC"/>
    <w:rsid w:val="00DD506F"/>
    <w:rsid w:val="00DD51B1"/>
    <w:rsid w:val="00DD5B8C"/>
    <w:rsid w:val="00DE1221"/>
    <w:rsid w:val="00DE7DC3"/>
    <w:rsid w:val="00E01B0C"/>
    <w:rsid w:val="00E026B0"/>
    <w:rsid w:val="00E030C6"/>
    <w:rsid w:val="00E06797"/>
    <w:rsid w:val="00E100ED"/>
    <w:rsid w:val="00E14885"/>
    <w:rsid w:val="00E1582F"/>
    <w:rsid w:val="00E169E7"/>
    <w:rsid w:val="00E33856"/>
    <w:rsid w:val="00E33F34"/>
    <w:rsid w:val="00E357C8"/>
    <w:rsid w:val="00E5103F"/>
    <w:rsid w:val="00E55A02"/>
    <w:rsid w:val="00E57A30"/>
    <w:rsid w:val="00E65154"/>
    <w:rsid w:val="00E801CA"/>
    <w:rsid w:val="00EA50A8"/>
    <w:rsid w:val="00EB0053"/>
    <w:rsid w:val="00EB3BC4"/>
    <w:rsid w:val="00EB7C4E"/>
    <w:rsid w:val="00ED4556"/>
    <w:rsid w:val="00EE4048"/>
    <w:rsid w:val="00F13A69"/>
    <w:rsid w:val="00F36DA2"/>
    <w:rsid w:val="00F431DB"/>
    <w:rsid w:val="00F5385C"/>
    <w:rsid w:val="00F62F0A"/>
    <w:rsid w:val="00F64512"/>
    <w:rsid w:val="00F931C8"/>
    <w:rsid w:val="00FA3812"/>
    <w:rsid w:val="00FB31EB"/>
    <w:rsid w:val="00FB728F"/>
    <w:rsid w:val="00FC1824"/>
    <w:rsid w:val="00FC4283"/>
    <w:rsid w:val="00FC53DF"/>
    <w:rsid w:val="00FC61D1"/>
    <w:rsid w:val="00FE6604"/>
    <w:rsid w:val="00FF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90AE82"/>
  <w14:defaultImageDpi w14:val="0"/>
  <w15:docId w15:val="{343DB20C-4614-479B-8A1E-8635CC76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0" w:qFormat="1"/>
    <w:lsdException w:name="Emphasis" w:locked="1" w:uiPriority="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4819"/>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385C"/>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99"/>
    <w:qFormat/>
    <w:rsid w:val="00F5385C"/>
    <w:rPr>
      <w:rFonts w:cs="Times New Roman"/>
      <w:i/>
    </w:rPr>
  </w:style>
  <w:style w:type="table" w:styleId="TableGrid">
    <w:name w:val="Table Grid"/>
    <w:basedOn w:val="TableNormal"/>
    <w:uiPriority w:val="99"/>
    <w:rsid w:val="009A4BD7"/>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3E9D"/>
    <w:rPr>
      <w:rFonts w:cs="Times New Roman"/>
      <w:color w:val="0000FF"/>
      <w:u w:val="single"/>
    </w:rPr>
  </w:style>
  <w:style w:type="paragraph" w:styleId="Header">
    <w:name w:val="header"/>
    <w:basedOn w:val="Normal"/>
    <w:link w:val="HeaderChar"/>
    <w:uiPriority w:val="99"/>
    <w:unhideWhenUsed/>
    <w:rsid w:val="00B337A9"/>
    <w:pPr>
      <w:tabs>
        <w:tab w:val="center" w:pos="4680"/>
        <w:tab w:val="right" w:pos="9360"/>
      </w:tabs>
    </w:pPr>
  </w:style>
  <w:style w:type="character" w:customStyle="1" w:styleId="HeaderChar">
    <w:name w:val="Header Char"/>
    <w:basedOn w:val="DefaultParagraphFont"/>
    <w:link w:val="Header"/>
    <w:uiPriority w:val="99"/>
    <w:locked/>
    <w:rsid w:val="00B337A9"/>
    <w:rPr>
      <w:rFonts w:cs="Times New Roman"/>
    </w:rPr>
  </w:style>
  <w:style w:type="paragraph" w:styleId="Footer">
    <w:name w:val="footer"/>
    <w:basedOn w:val="Normal"/>
    <w:link w:val="FooterChar"/>
    <w:uiPriority w:val="99"/>
    <w:unhideWhenUsed/>
    <w:rsid w:val="00B337A9"/>
    <w:pPr>
      <w:tabs>
        <w:tab w:val="center" w:pos="4680"/>
        <w:tab w:val="right" w:pos="9360"/>
      </w:tabs>
    </w:pPr>
  </w:style>
  <w:style w:type="character" w:customStyle="1" w:styleId="FooterChar">
    <w:name w:val="Footer Char"/>
    <w:basedOn w:val="DefaultParagraphFont"/>
    <w:link w:val="Footer"/>
    <w:uiPriority w:val="99"/>
    <w:locked/>
    <w:rsid w:val="00B337A9"/>
    <w:rPr>
      <w:rFonts w:cs="Times New Roman"/>
    </w:rPr>
  </w:style>
  <w:style w:type="table" w:styleId="TableGridLight">
    <w:name w:val="Grid Table Light"/>
    <w:basedOn w:val="TableNormal"/>
    <w:uiPriority w:val="40"/>
    <w:rsid w:val="006F71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55789"/>
    <w:pPr>
      <w:ind w:left="720"/>
      <w:contextualSpacing/>
    </w:pPr>
  </w:style>
  <w:style w:type="paragraph" w:styleId="FootnoteText">
    <w:name w:val="footnote text"/>
    <w:basedOn w:val="Normal"/>
    <w:link w:val="FootnoteTextChar"/>
    <w:uiPriority w:val="99"/>
    <w:rsid w:val="008D563A"/>
    <w:pPr>
      <w:spacing w:after="0" w:line="240" w:lineRule="auto"/>
    </w:pPr>
    <w:rPr>
      <w:sz w:val="20"/>
      <w:szCs w:val="20"/>
    </w:rPr>
  </w:style>
  <w:style w:type="character" w:customStyle="1" w:styleId="FootnoteTextChar">
    <w:name w:val="Footnote Text Char"/>
    <w:basedOn w:val="DefaultParagraphFont"/>
    <w:link w:val="FootnoteText"/>
    <w:uiPriority w:val="99"/>
    <w:locked/>
    <w:rsid w:val="008D563A"/>
    <w:rPr>
      <w:rFonts w:cs="Times New Roman"/>
    </w:rPr>
  </w:style>
  <w:style w:type="character" w:styleId="FootnoteReference">
    <w:name w:val="footnote reference"/>
    <w:basedOn w:val="DefaultParagraphFont"/>
    <w:uiPriority w:val="99"/>
    <w:rsid w:val="008D563A"/>
    <w:rPr>
      <w:rFonts w:cs="Times New Roman"/>
      <w:vertAlign w:val="superscript"/>
    </w:rPr>
  </w:style>
  <w:style w:type="character" w:styleId="UnresolvedMention">
    <w:name w:val="Unresolved Mention"/>
    <w:basedOn w:val="DefaultParagraphFont"/>
    <w:uiPriority w:val="99"/>
    <w:semiHidden/>
    <w:unhideWhenUsed/>
    <w:rsid w:val="00FC53DF"/>
    <w:rPr>
      <w:rFonts w:cs="Times New Roman"/>
      <w:color w:val="605E5C"/>
      <w:shd w:val="clear" w:color="auto" w:fill="E1DFDD"/>
    </w:rPr>
  </w:style>
  <w:style w:type="character" w:styleId="CommentReference">
    <w:name w:val="annotation reference"/>
    <w:basedOn w:val="DefaultParagraphFont"/>
    <w:uiPriority w:val="99"/>
    <w:unhideWhenUsed/>
    <w:rsid w:val="00FB31EB"/>
    <w:rPr>
      <w:sz w:val="18"/>
      <w:szCs w:val="18"/>
    </w:rPr>
  </w:style>
  <w:style w:type="paragraph" w:styleId="CommentText">
    <w:name w:val="annotation text"/>
    <w:basedOn w:val="Normal"/>
    <w:link w:val="CommentTextChar"/>
    <w:uiPriority w:val="99"/>
    <w:unhideWhenUsed/>
    <w:rsid w:val="00FB31EB"/>
    <w:pPr>
      <w:spacing w:after="0"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FB31EB"/>
    <w:rPr>
      <w:rFonts w:asciiTheme="minorHAnsi" w:eastAsiaTheme="minorHAnsi" w:hAnsiTheme="minorHAnsi" w:cstheme="minorBidi"/>
    </w:rPr>
  </w:style>
  <w:style w:type="paragraph" w:styleId="BalloonText">
    <w:name w:val="Balloon Text"/>
    <w:basedOn w:val="Normal"/>
    <w:link w:val="BalloonTextChar"/>
    <w:uiPriority w:val="99"/>
    <w:rsid w:val="00FB31EB"/>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rsid w:val="00FB31EB"/>
    <w:rPr>
      <w:rFonts w:ascii="Times New Roman" w:hAnsi="Times New Roman" w:cs="Times New Roman"/>
      <w:sz w:val="18"/>
      <w:szCs w:val="18"/>
    </w:rPr>
  </w:style>
  <w:style w:type="character" w:styleId="FollowedHyperlink">
    <w:name w:val="FollowedHyperlink"/>
    <w:basedOn w:val="DefaultParagraphFont"/>
    <w:uiPriority w:val="99"/>
    <w:rsid w:val="00FB31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94491">
      <w:bodyDiv w:val="1"/>
      <w:marLeft w:val="0"/>
      <w:marRight w:val="0"/>
      <w:marTop w:val="0"/>
      <w:marBottom w:val="0"/>
      <w:divBdr>
        <w:top w:val="none" w:sz="0" w:space="0" w:color="auto"/>
        <w:left w:val="none" w:sz="0" w:space="0" w:color="auto"/>
        <w:bottom w:val="none" w:sz="0" w:space="0" w:color="auto"/>
        <w:right w:val="none" w:sz="0" w:space="0" w:color="auto"/>
      </w:divBdr>
    </w:div>
    <w:div w:id="784539694">
      <w:marLeft w:val="0"/>
      <w:marRight w:val="0"/>
      <w:marTop w:val="0"/>
      <w:marBottom w:val="0"/>
      <w:divBdr>
        <w:top w:val="none" w:sz="0" w:space="0" w:color="auto"/>
        <w:left w:val="none" w:sz="0" w:space="0" w:color="auto"/>
        <w:bottom w:val="none" w:sz="0" w:space="0" w:color="auto"/>
        <w:right w:val="none" w:sz="0" w:space="0" w:color="auto"/>
      </w:divBdr>
    </w:div>
    <w:div w:id="784539695">
      <w:marLeft w:val="0"/>
      <w:marRight w:val="0"/>
      <w:marTop w:val="0"/>
      <w:marBottom w:val="0"/>
      <w:divBdr>
        <w:top w:val="none" w:sz="0" w:space="0" w:color="auto"/>
        <w:left w:val="none" w:sz="0" w:space="0" w:color="auto"/>
        <w:bottom w:val="none" w:sz="0" w:space="0" w:color="auto"/>
        <w:right w:val="none" w:sz="0" w:space="0" w:color="auto"/>
      </w:divBdr>
    </w:div>
    <w:div w:id="784539696">
      <w:marLeft w:val="0"/>
      <w:marRight w:val="0"/>
      <w:marTop w:val="0"/>
      <w:marBottom w:val="0"/>
      <w:divBdr>
        <w:top w:val="none" w:sz="0" w:space="0" w:color="auto"/>
        <w:left w:val="none" w:sz="0" w:space="0" w:color="auto"/>
        <w:bottom w:val="none" w:sz="0" w:space="0" w:color="auto"/>
        <w:right w:val="none" w:sz="0" w:space="0" w:color="auto"/>
      </w:divBdr>
    </w:div>
    <w:div w:id="784539697">
      <w:marLeft w:val="0"/>
      <w:marRight w:val="0"/>
      <w:marTop w:val="0"/>
      <w:marBottom w:val="0"/>
      <w:divBdr>
        <w:top w:val="none" w:sz="0" w:space="0" w:color="auto"/>
        <w:left w:val="none" w:sz="0" w:space="0" w:color="auto"/>
        <w:bottom w:val="none" w:sz="0" w:space="0" w:color="auto"/>
        <w:right w:val="none" w:sz="0" w:space="0" w:color="auto"/>
      </w:divBdr>
    </w:div>
    <w:div w:id="784539698">
      <w:marLeft w:val="0"/>
      <w:marRight w:val="0"/>
      <w:marTop w:val="0"/>
      <w:marBottom w:val="0"/>
      <w:divBdr>
        <w:top w:val="none" w:sz="0" w:space="0" w:color="auto"/>
        <w:left w:val="none" w:sz="0" w:space="0" w:color="auto"/>
        <w:bottom w:val="none" w:sz="0" w:space="0" w:color="auto"/>
        <w:right w:val="none" w:sz="0" w:space="0" w:color="auto"/>
      </w:divBdr>
    </w:div>
    <w:div w:id="784539699">
      <w:marLeft w:val="0"/>
      <w:marRight w:val="0"/>
      <w:marTop w:val="0"/>
      <w:marBottom w:val="0"/>
      <w:divBdr>
        <w:top w:val="none" w:sz="0" w:space="0" w:color="auto"/>
        <w:left w:val="none" w:sz="0" w:space="0" w:color="auto"/>
        <w:bottom w:val="none" w:sz="0" w:space="0" w:color="auto"/>
        <w:right w:val="none" w:sz="0" w:space="0" w:color="auto"/>
      </w:divBdr>
    </w:div>
    <w:div w:id="784539700">
      <w:marLeft w:val="0"/>
      <w:marRight w:val="0"/>
      <w:marTop w:val="0"/>
      <w:marBottom w:val="0"/>
      <w:divBdr>
        <w:top w:val="none" w:sz="0" w:space="0" w:color="auto"/>
        <w:left w:val="none" w:sz="0" w:space="0" w:color="auto"/>
        <w:bottom w:val="none" w:sz="0" w:space="0" w:color="auto"/>
        <w:right w:val="none" w:sz="0" w:space="0" w:color="auto"/>
      </w:divBdr>
    </w:div>
    <w:div w:id="784539701">
      <w:marLeft w:val="0"/>
      <w:marRight w:val="0"/>
      <w:marTop w:val="0"/>
      <w:marBottom w:val="0"/>
      <w:divBdr>
        <w:top w:val="none" w:sz="0" w:space="0" w:color="auto"/>
        <w:left w:val="none" w:sz="0" w:space="0" w:color="auto"/>
        <w:bottom w:val="none" w:sz="0" w:space="0" w:color="auto"/>
        <w:right w:val="none" w:sz="0" w:space="0" w:color="auto"/>
      </w:divBdr>
    </w:div>
    <w:div w:id="784539702">
      <w:marLeft w:val="0"/>
      <w:marRight w:val="0"/>
      <w:marTop w:val="0"/>
      <w:marBottom w:val="0"/>
      <w:divBdr>
        <w:top w:val="none" w:sz="0" w:space="0" w:color="auto"/>
        <w:left w:val="none" w:sz="0" w:space="0" w:color="auto"/>
        <w:bottom w:val="none" w:sz="0" w:space="0" w:color="auto"/>
        <w:right w:val="none" w:sz="0" w:space="0" w:color="auto"/>
      </w:divBdr>
    </w:div>
    <w:div w:id="784539703">
      <w:marLeft w:val="0"/>
      <w:marRight w:val="0"/>
      <w:marTop w:val="0"/>
      <w:marBottom w:val="0"/>
      <w:divBdr>
        <w:top w:val="none" w:sz="0" w:space="0" w:color="auto"/>
        <w:left w:val="none" w:sz="0" w:space="0" w:color="auto"/>
        <w:bottom w:val="none" w:sz="0" w:space="0" w:color="auto"/>
        <w:right w:val="none" w:sz="0" w:space="0" w:color="auto"/>
      </w:divBdr>
    </w:div>
    <w:div w:id="784539704">
      <w:marLeft w:val="0"/>
      <w:marRight w:val="0"/>
      <w:marTop w:val="0"/>
      <w:marBottom w:val="0"/>
      <w:divBdr>
        <w:top w:val="none" w:sz="0" w:space="0" w:color="auto"/>
        <w:left w:val="none" w:sz="0" w:space="0" w:color="auto"/>
        <w:bottom w:val="none" w:sz="0" w:space="0" w:color="auto"/>
        <w:right w:val="none" w:sz="0" w:space="0" w:color="auto"/>
      </w:divBdr>
    </w:div>
    <w:div w:id="784539705">
      <w:marLeft w:val="0"/>
      <w:marRight w:val="0"/>
      <w:marTop w:val="0"/>
      <w:marBottom w:val="0"/>
      <w:divBdr>
        <w:top w:val="none" w:sz="0" w:space="0" w:color="auto"/>
        <w:left w:val="none" w:sz="0" w:space="0" w:color="auto"/>
        <w:bottom w:val="none" w:sz="0" w:space="0" w:color="auto"/>
        <w:right w:val="none" w:sz="0" w:space="0" w:color="auto"/>
      </w:divBdr>
    </w:div>
    <w:div w:id="784539706">
      <w:marLeft w:val="0"/>
      <w:marRight w:val="0"/>
      <w:marTop w:val="0"/>
      <w:marBottom w:val="0"/>
      <w:divBdr>
        <w:top w:val="none" w:sz="0" w:space="0" w:color="auto"/>
        <w:left w:val="none" w:sz="0" w:space="0" w:color="auto"/>
        <w:bottom w:val="none" w:sz="0" w:space="0" w:color="auto"/>
        <w:right w:val="none" w:sz="0" w:space="0" w:color="auto"/>
      </w:divBdr>
    </w:div>
    <w:div w:id="784539707">
      <w:marLeft w:val="0"/>
      <w:marRight w:val="0"/>
      <w:marTop w:val="0"/>
      <w:marBottom w:val="0"/>
      <w:divBdr>
        <w:top w:val="none" w:sz="0" w:space="0" w:color="auto"/>
        <w:left w:val="none" w:sz="0" w:space="0" w:color="auto"/>
        <w:bottom w:val="none" w:sz="0" w:space="0" w:color="auto"/>
        <w:right w:val="none" w:sz="0" w:space="0" w:color="auto"/>
      </w:divBdr>
    </w:div>
    <w:div w:id="784539708">
      <w:marLeft w:val="0"/>
      <w:marRight w:val="0"/>
      <w:marTop w:val="0"/>
      <w:marBottom w:val="0"/>
      <w:divBdr>
        <w:top w:val="none" w:sz="0" w:space="0" w:color="auto"/>
        <w:left w:val="none" w:sz="0" w:space="0" w:color="auto"/>
        <w:bottom w:val="none" w:sz="0" w:space="0" w:color="auto"/>
        <w:right w:val="none" w:sz="0" w:space="0" w:color="auto"/>
      </w:divBdr>
    </w:div>
    <w:div w:id="784539709">
      <w:marLeft w:val="0"/>
      <w:marRight w:val="0"/>
      <w:marTop w:val="0"/>
      <w:marBottom w:val="0"/>
      <w:divBdr>
        <w:top w:val="none" w:sz="0" w:space="0" w:color="auto"/>
        <w:left w:val="none" w:sz="0" w:space="0" w:color="auto"/>
        <w:bottom w:val="none" w:sz="0" w:space="0" w:color="auto"/>
        <w:right w:val="none" w:sz="0" w:space="0" w:color="auto"/>
      </w:divBdr>
    </w:div>
    <w:div w:id="784539710">
      <w:marLeft w:val="0"/>
      <w:marRight w:val="0"/>
      <w:marTop w:val="0"/>
      <w:marBottom w:val="0"/>
      <w:divBdr>
        <w:top w:val="none" w:sz="0" w:space="0" w:color="auto"/>
        <w:left w:val="none" w:sz="0" w:space="0" w:color="auto"/>
        <w:bottom w:val="none" w:sz="0" w:space="0" w:color="auto"/>
        <w:right w:val="none" w:sz="0" w:space="0" w:color="auto"/>
      </w:divBdr>
    </w:div>
    <w:div w:id="78453971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ttnibertolet/MicrobeRegCH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x.doi.org/10.1038%2Fnmeth.f.3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98F57-C71D-8043-8E9F-A843BDC47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1863</Words>
  <Characters>11328</Characters>
  <Application>Microsoft Office Word</Application>
  <DocSecurity>0</DocSecurity>
  <Lines>202</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Emi Fergus</dc:creator>
  <cp:keywords/>
  <dc:description/>
  <cp:lastModifiedBy>Brittni Bertolet</cp:lastModifiedBy>
  <cp:revision>2</cp:revision>
  <dcterms:created xsi:type="dcterms:W3CDTF">2019-05-19T22:02:00Z</dcterms:created>
  <dcterms:modified xsi:type="dcterms:W3CDTF">2019-05-19T22:02:00Z</dcterms:modified>
</cp:coreProperties>
</file>