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9B09" w14:textId="77777777" w:rsidR="00BA780F" w:rsidRDefault="00000000">
      <w:pPr>
        <w:spacing w:before="157" w:after="157" w:line="270" w:lineRule="auto"/>
      </w:pPr>
      <w:bookmarkStart w:id="0" w:name="literature_review_foundation"/>
      <w:r>
        <w:rPr>
          <w:rFonts w:eastAsia="Georgia" w:hAnsi="Georgia" w:cs="Georgia"/>
          <w:b/>
          <w:color w:val="000000"/>
          <w:sz w:val="39"/>
        </w:rPr>
        <w:t>Literature Review Foundation</w:t>
      </w:r>
      <w:bookmarkEnd w:id="0"/>
    </w:p>
    <w:p w14:paraId="1044AB9F" w14:textId="77777777" w:rsidR="00BA780F" w:rsidRDefault="00000000">
      <w:pPr>
        <w:spacing w:before="315" w:after="105" w:line="360" w:lineRule="auto"/>
        <w:ind w:left="-30"/>
      </w:pPr>
      <w:bookmarkStart w:id="1" w:name="beyond_public_acceptance_procedur_781a9f"/>
      <w:r>
        <w:rPr>
          <w:rFonts w:eastAsia="Georgia" w:hAnsi="Georgia" w:cs="Georgia"/>
          <w:b/>
          <w:i/>
          <w:color w:val="000000"/>
          <w:sz w:val="24"/>
        </w:rPr>
        <w:t>Beyond Public Acceptance: Procedural Justice, Indigenous Rights, and the Social License for Carbon Capture Deployment</w:t>
      </w:r>
      <w:bookmarkEnd w:id="1"/>
    </w:p>
    <w:p w14:paraId="3578B646" w14:textId="77777777" w:rsidR="00BA780F" w:rsidRDefault="00000000">
      <w:pPr>
        <w:spacing w:after="210" w:line="360" w:lineRule="auto"/>
      </w:pPr>
      <w:r>
        <w:rPr>
          <w:rFonts w:eastAsia="Georgia" w:hAnsi="Georgia" w:cs="Georgia"/>
          <w:b/>
          <w:color w:val="000000"/>
        </w:rPr>
        <w:t>Target journal:</w:t>
      </w:r>
      <w:r>
        <w:rPr>
          <w:rFonts w:eastAsia="Georgia" w:hAnsi="Georgia" w:cs="Georgia"/>
          <w:color w:val="000000"/>
        </w:rPr>
        <w:t xml:space="preserve"> </w:t>
      </w:r>
      <w:r>
        <w:rPr>
          <w:rFonts w:eastAsia="Georgia" w:hAnsi="Georgia" w:cs="Georgia"/>
          <w:i/>
          <w:color w:val="000000"/>
        </w:rPr>
        <w:t>Energy Research &amp; Social Science</w:t>
      </w:r>
      <w:r>
        <w:rPr>
          <w:rFonts w:eastAsia="Georgia" w:hAnsi="Georgia" w:cs="Georgia"/>
          <w:color w:val="000000"/>
        </w:rPr>
        <w:br/>
      </w:r>
      <w:r>
        <w:rPr>
          <w:rFonts w:eastAsia="Georgia" w:hAnsi="Georgia" w:cs="Georgia"/>
          <w:b/>
          <w:color w:val="000000"/>
        </w:rPr>
        <w:t>Prepared for:</w:t>
      </w:r>
      <w:r>
        <w:rPr>
          <w:rFonts w:eastAsia="Georgia" w:hAnsi="Georgia" w:cs="Georgia"/>
          <w:color w:val="000000"/>
        </w:rPr>
        <w:t xml:space="preserve"> Britton Leggett, McNeese State University</w:t>
      </w:r>
      <w:r>
        <w:rPr>
          <w:rFonts w:eastAsia="Georgia" w:hAnsi="Georgia" w:cs="Georgia"/>
          <w:color w:val="000000"/>
        </w:rPr>
        <w:br/>
      </w:r>
      <w:r>
        <w:rPr>
          <w:rFonts w:eastAsia="Georgia" w:hAnsi="Georgia" w:cs="Georgia"/>
          <w:b/>
          <w:color w:val="000000"/>
        </w:rPr>
        <w:t>Compiled:</w:t>
      </w:r>
      <w:r>
        <w:rPr>
          <w:rFonts w:eastAsia="Georgia" w:hAnsi="Georgia" w:cs="Georgia"/>
          <w:color w:val="000000"/>
        </w:rPr>
        <w:t xml:space="preserve"> May 2026</w:t>
      </w:r>
    </w:p>
    <w:p w14:paraId="72F56827" w14:textId="77777777" w:rsidR="00BA780F" w:rsidRDefault="00000000">
      <w:pPr>
        <w:spacing w:before="210" w:after="0" w:line="360" w:lineRule="auto"/>
      </w:pPr>
      <w:r>
        <w:rPr>
          <w:noProof/>
        </w:rPr>
      </w:r>
      <w:r>
        <w:rPr>
          <w:noProof/>
        </w:rPr>
        <w:pict w14:anchorId="1764059A">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A9A05F" w14:textId="77777777" w:rsidR="00BA780F" w:rsidRDefault="00000000">
      <w:pPr>
        <w:spacing w:before="315" w:after="105" w:line="360" w:lineRule="auto"/>
        <w:ind w:left="-30"/>
      </w:pPr>
      <w:bookmarkStart w:id="2" w:name="how_to_use_this_document"/>
      <w:r>
        <w:rPr>
          <w:rFonts w:eastAsia="Georgia" w:hAnsi="Georgia" w:cs="Georgia"/>
          <w:b/>
          <w:color w:val="000000"/>
          <w:sz w:val="24"/>
        </w:rPr>
        <w:t>How to use this document</w:t>
      </w:r>
      <w:bookmarkEnd w:id="2"/>
    </w:p>
    <w:p w14:paraId="457A2E42" w14:textId="77777777" w:rsidR="00BA780F" w:rsidRDefault="00000000">
      <w:pPr>
        <w:spacing w:after="210" w:line="360" w:lineRule="auto"/>
      </w:pPr>
      <w:r>
        <w:rPr>
          <w:rFonts w:eastAsia="Georgia" w:hAnsi="Georgia" w:cs="Georgia"/>
          <w:color w:val="000000"/>
        </w:rPr>
        <w:t>This is a working foundation — not a finished manuscript section. It is organized in eight parts mapped to your request (A–H). All 51 sources are peer‑reviewed (or peer‑reviewed monographs); every DOI was verified against the Crossref REST API during compilation. Where a DOI does not exist, the source is flagged and an alternative stable identifier (ISBN) is provided. Indigenous studies citations were verified with extra care because that literature is frequently miscited in social‑science work.</w:t>
      </w:r>
    </w:p>
    <w:p w14:paraId="7B4D7A55" w14:textId="77777777" w:rsidR="00BA780F" w:rsidRDefault="00000000">
      <w:pPr>
        <w:spacing w:after="210" w:line="360" w:lineRule="auto"/>
      </w:pPr>
      <w:r>
        <w:rPr>
          <w:rFonts w:eastAsia="Georgia" w:hAnsi="Georgia" w:cs="Georgia"/>
          <w:color w:val="000000"/>
        </w:rPr>
        <w:t>Five working files in your workspace contain the detailed annotations behind this synthesis:</w:t>
      </w:r>
    </w:p>
    <w:p w14:paraId="665AFF58" w14:textId="77777777" w:rsidR="00BA780F"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lit_ccs_acceptance.md</w:t>
      </w:r>
      <w:r>
        <w:rPr>
          <w:rFonts w:eastAsia="Georgia" w:hAnsi="Georgia" w:cs="Georgia"/>
          <w:color w:val="000000"/>
        </w:rPr>
        <w:t xml:space="preserve"> (15 sources)</w:t>
      </w:r>
    </w:p>
    <w:p w14:paraId="4C02C589" w14:textId="77777777" w:rsidR="00BA780F"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lit_infrastructure_siting.md</w:t>
      </w:r>
      <w:r>
        <w:rPr>
          <w:rFonts w:eastAsia="Georgia" w:hAnsi="Georgia" w:cs="Georgia"/>
          <w:color w:val="000000"/>
        </w:rPr>
        <w:t xml:space="preserve"> (8 sources, +5 supplementary)</w:t>
      </w:r>
    </w:p>
    <w:p w14:paraId="2160E832" w14:textId="77777777" w:rsidR="00BA780F"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lit_energy_justice.md</w:t>
      </w:r>
      <w:r>
        <w:rPr>
          <w:rFonts w:eastAsia="Georgia" w:hAnsi="Georgia" w:cs="Georgia"/>
          <w:color w:val="000000"/>
        </w:rPr>
        <w:t xml:space="preserve"> (12 sources, +3 supplementary)</w:t>
      </w:r>
    </w:p>
    <w:p w14:paraId="1DB88E53" w14:textId="77777777" w:rsidR="00BA780F"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lit_social_license.md</w:t>
      </w:r>
      <w:r>
        <w:rPr>
          <w:rFonts w:eastAsia="Georgia" w:hAnsi="Georgia" w:cs="Georgia"/>
          <w:color w:val="000000"/>
        </w:rPr>
        <w:t xml:space="preserve"> (9 sources, +1 supplementary)</w:t>
      </w:r>
    </w:p>
    <w:p w14:paraId="4C38B68E" w14:textId="77777777" w:rsidR="00BA780F"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lit_indigenous_rights.md</w:t>
      </w:r>
      <w:r>
        <w:rPr>
          <w:rFonts w:eastAsia="Georgia" w:hAnsi="Georgia" w:cs="Georgia"/>
          <w:color w:val="000000"/>
        </w:rPr>
        <w:t xml:space="preserve"> (10 sources, +4 supplementary)</w:t>
      </w:r>
    </w:p>
    <w:p w14:paraId="36C04C77" w14:textId="77777777" w:rsidR="00BA780F"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lit_governance_framing.md</w:t>
      </w:r>
      <w:r>
        <w:rPr>
          <w:rFonts w:eastAsia="Georgia" w:hAnsi="Georgia" w:cs="Georgia"/>
          <w:color w:val="000000"/>
        </w:rPr>
        <w:t xml:space="preserve"> (12 sources)</w:t>
      </w:r>
    </w:p>
    <w:p w14:paraId="0A4233C5" w14:textId="77777777" w:rsidR="00BA780F" w:rsidRDefault="00000000">
      <w:pPr>
        <w:spacing w:before="210" w:after="0" w:line="360" w:lineRule="auto"/>
      </w:pPr>
      <w:r>
        <w:rPr>
          <w:noProof/>
        </w:rPr>
      </w:r>
      <w:r>
        <w:rPr>
          <w:noProof/>
        </w:rPr>
        <w:pict w14:anchorId="3B5185B2">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8C8CB6F" w14:textId="77777777" w:rsidR="00BA780F" w:rsidRDefault="00000000">
      <w:pPr>
        <w:spacing w:before="315" w:after="105" w:line="360" w:lineRule="auto"/>
        <w:ind w:left="-30"/>
      </w:pPr>
      <w:bookmarkStart w:id="3" w:name="a_literature_review_outline"/>
      <w:r>
        <w:rPr>
          <w:rFonts w:eastAsia="Georgia" w:hAnsi="Georgia" w:cs="Georgia"/>
          <w:b/>
          <w:color w:val="000000"/>
          <w:sz w:val="24"/>
        </w:rPr>
        <w:t>A. Literature Review Outline</w:t>
      </w:r>
      <w:bookmarkEnd w:id="3"/>
    </w:p>
    <w:p w14:paraId="3A312403" w14:textId="77777777" w:rsidR="00BA780F" w:rsidRDefault="00000000">
      <w:pPr>
        <w:spacing w:after="210" w:line="360" w:lineRule="auto"/>
      </w:pPr>
      <w:r>
        <w:rPr>
          <w:rFonts w:eastAsia="Georgia" w:hAnsi="Georgia" w:cs="Georgia"/>
          <w:color w:val="000000"/>
        </w:rPr>
        <w:t xml:space="preserve">This is a defensible structure for the manuscript's literature review section in </w:t>
      </w:r>
      <w:r>
        <w:rPr>
          <w:rFonts w:eastAsia="Georgia" w:hAnsi="Georgia" w:cs="Georgia"/>
          <w:i/>
          <w:color w:val="000000"/>
        </w:rPr>
        <w:t>ERSS</w:t>
      </w:r>
      <w:r>
        <w:rPr>
          <w:rFonts w:eastAsia="Georgia" w:hAnsi="Georgia" w:cs="Georgia"/>
          <w:color w:val="000000"/>
        </w:rPr>
        <w:t>. Sub‑sections are tied to the source set in Part B.</w:t>
      </w:r>
    </w:p>
    <w:p w14:paraId="0A3F53E5" w14:textId="77777777" w:rsidR="00BA780F" w:rsidRDefault="00000000">
      <w:pPr>
        <w:spacing w:before="315" w:after="105" w:line="360" w:lineRule="auto"/>
        <w:ind w:left="-30"/>
      </w:pPr>
      <w:bookmarkStart w:id="4" w:name="bm_1_introduction_from_public_acc_b51d55"/>
      <w:r>
        <w:rPr>
          <w:rFonts w:eastAsia="Georgia" w:hAnsi="Georgia" w:cs="Georgia"/>
          <w:b/>
          <w:color w:val="000000"/>
          <w:sz w:val="24"/>
        </w:rPr>
        <w:t>1. Introduction: From "public acceptance" to legitimacy and social license</w:t>
      </w:r>
      <w:bookmarkEnd w:id="4"/>
    </w:p>
    <w:p w14:paraId="3A8232A3" w14:textId="77777777" w:rsidR="00BA780F" w:rsidRDefault="00000000">
      <w:pPr>
        <w:numPr>
          <w:ilvl w:val="0"/>
          <w:numId w:val="2"/>
        </w:numPr>
        <w:spacing w:before="105" w:after="105" w:line="360" w:lineRule="auto"/>
      </w:pPr>
      <w:r>
        <w:rPr>
          <w:rFonts w:eastAsia="Georgia" w:hAnsi="Georgia" w:cs="Georgia"/>
          <w:color w:val="000000"/>
        </w:rPr>
        <w:lastRenderedPageBreak/>
        <w:t>1.1 The CCS legitimacy puzzle: technical consensus, contested authority (</w:t>
      </w:r>
      <w:hyperlink r:id="rId5">
        <w:r>
          <w:rPr>
            <w:rFonts w:ascii="helvetica neue" w:eastAsia="helvetica neue" w:hAnsi="helvetica neue" w:cs="helvetica neue"/>
            <w:u w:val="single"/>
          </w:rPr>
          <w:t>Stephanides et al., 2025</w:t>
        </w:r>
      </w:hyperlink>
      <w:r>
        <w:rPr>
          <w:rFonts w:eastAsia="Georgia" w:hAnsi="Georgia" w:cs="Georgia"/>
          <w:color w:val="000000"/>
        </w:rPr>
        <w:t xml:space="preserve">; </w:t>
      </w:r>
      <w:hyperlink r:id="rId6">
        <w:r>
          <w:rPr>
            <w:rFonts w:ascii="helvetica neue" w:eastAsia="helvetica neue" w:hAnsi="helvetica neue" w:cs="helvetica neue"/>
            <w:u w:val="single"/>
          </w:rPr>
          <w:t>Boudet, 2019</w:t>
        </w:r>
      </w:hyperlink>
      <w:r>
        <w:rPr>
          <w:rFonts w:eastAsia="Georgia" w:hAnsi="Georgia" w:cs="Georgia"/>
          <w:color w:val="000000"/>
        </w:rPr>
        <w:t>)</w:t>
      </w:r>
    </w:p>
    <w:p w14:paraId="2FDD64C4" w14:textId="77777777" w:rsidR="00BA780F" w:rsidRDefault="00000000">
      <w:pPr>
        <w:numPr>
          <w:ilvl w:val="0"/>
          <w:numId w:val="2"/>
        </w:numPr>
        <w:spacing w:before="105" w:after="105" w:line="360" w:lineRule="auto"/>
      </w:pPr>
      <w:r>
        <w:rPr>
          <w:rFonts w:eastAsia="Georgia" w:hAnsi="Georgia" w:cs="Georgia"/>
          <w:color w:val="000000"/>
        </w:rPr>
        <w:t>1.2 Why "beyond acceptance" — critique of the acceptance paradigm (</w:t>
      </w:r>
      <w:hyperlink r:id="rId7">
        <w:r>
          <w:rPr>
            <w:rFonts w:ascii="helvetica neue" w:eastAsia="helvetica neue" w:hAnsi="helvetica neue" w:cs="helvetica neue"/>
            <w:u w:val="single"/>
          </w:rPr>
          <w:t>Batel, 2018</w:t>
        </w:r>
      </w:hyperlink>
      <w:r>
        <w:rPr>
          <w:rFonts w:eastAsia="Georgia" w:hAnsi="Georgia" w:cs="Georgia"/>
          <w:color w:val="000000"/>
        </w:rPr>
        <w:t xml:space="preserve">; </w:t>
      </w:r>
      <w:hyperlink r:id="rId8">
        <w:r>
          <w:rPr>
            <w:rFonts w:ascii="helvetica neue" w:eastAsia="helvetica neue" w:hAnsi="helvetica neue" w:cs="helvetica neue"/>
            <w:u w:val="single"/>
          </w:rPr>
          <w:t>Stephanides et al., 2025</w:t>
        </w:r>
      </w:hyperlink>
      <w:r>
        <w:rPr>
          <w:rFonts w:eastAsia="Georgia" w:hAnsi="Georgia" w:cs="Georgia"/>
          <w:color w:val="000000"/>
        </w:rPr>
        <w:t>)</w:t>
      </w:r>
    </w:p>
    <w:p w14:paraId="5B6F8CF7" w14:textId="77777777" w:rsidR="00BA780F" w:rsidRDefault="00000000">
      <w:pPr>
        <w:numPr>
          <w:ilvl w:val="0"/>
          <w:numId w:val="2"/>
        </w:numPr>
        <w:spacing w:before="105" w:after="105" w:line="360" w:lineRule="auto"/>
      </w:pPr>
      <w:r>
        <w:rPr>
          <w:rFonts w:eastAsia="Georgia" w:hAnsi="Georgia" w:cs="Georgia"/>
          <w:color w:val="000000"/>
        </w:rPr>
        <w:t>1.3 Louisiana as a critical-case fossil-fuel region (briefly framed; case selection in methods)</w:t>
      </w:r>
    </w:p>
    <w:p w14:paraId="617FD0CC" w14:textId="77777777" w:rsidR="00BA780F" w:rsidRDefault="00000000">
      <w:pPr>
        <w:spacing w:before="315" w:after="105" w:line="360" w:lineRule="auto"/>
        <w:ind w:left="-30"/>
      </w:pPr>
      <w:bookmarkStart w:id="5" w:name="bm_2_ccs_ccus_public_acceptance_s_4e4306"/>
      <w:r>
        <w:rPr>
          <w:rFonts w:eastAsia="Georgia" w:hAnsi="Georgia" w:cs="Georgia"/>
          <w:b/>
          <w:color w:val="000000"/>
          <w:sz w:val="24"/>
        </w:rPr>
        <w:t>2. CCS/CCUS public acceptance — state of the field</w:t>
      </w:r>
      <w:bookmarkEnd w:id="5"/>
    </w:p>
    <w:p w14:paraId="7F79FF9E" w14:textId="77777777" w:rsidR="00BA780F" w:rsidRDefault="00000000">
      <w:pPr>
        <w:numPr>
          <w:ilvl w:val="0"/>
          <w:numId w:val="3"/>
        </w:numPr>
        <w:spacing w:before="105" w:after="105" w:line="360" w:lineRule="auto"/>
      </w:pPr>
      <w:r>
        <w:rPr>
          <w:rFonts w:eastAsia="Georgia" w:hAnsi="Georgia" w:cs="Georgia"/>
          <w:color w:val="000000"/>
        </w:rPr>
        <w:t>2.1 Foundational synthesis: low awareness, malleable risk/benefit perceptions (</w:t>
      </w:r>
      <w:hyperlink r:id="rId9">
        <w:r>
          <w:rPr>
            <w:rFonts w:ascii="helvetica neue" w:eastAsia="helvetica neue" w:hAnsi="helvetica neue" w:cs="helvetica neue"/>
            <w:u w:val="single"/>
          </w:rPr>
          <w:t>L'Orange Seigo et al., 2014</w:t>
        </w:r>
      </w:hyperlink>
      <w:r>
        <w:rPr>
          <w:rFonts w:eastAsia="Georgia" w:hAnsi="Georgia" w:cs="Georgia"/>
          <w:color w:val="000000"/>
        </w:rPr>
        <w:t xml:space="preserve">; </w:t>
      </w:r>
      <w:hyperlink r:id="rId10">
        <w:r>
          <w:rPr>
            <w:rFonts w:ascii="helvetica neue" w:eastAsia="helvetica neue" w:hAnsi="helvetica neue" w:cs="helvetica neue"/>
            <w:u w:val="single"/>
          </w:rPr>
          <w:t>Reiner et al., 2006</w:t>
        </w:r>
      </w:hyperlink>
      <w:r>
        <w:rPr>
          <w:rFonts w:eastAsia="Georgia" w:hAnsi="Georgia" w:cs="Georgia"/>
          <w:color w:val="000000"/>
        </w:rPr>
        <w:t>)</w:t>
      </w:r>
    </w:p>
    <w:p w14:paraId="0650449E" w14:textId="77777777" w:rsidR="00BA780F" w:rsidRDefault="00000000">
      <w:pPr>
        <w:numPr>
          <w:ilvl w:val="0"/>
          <w:numId w:val="3"/>
        </w:numPr>
        <w:spacing w:before="105" w:after="105" w:line="360" w:lineRule="auto"/>
      </w:pPr>
      <w:r>
        <w:rPr>
          <w:rFonts w:eastAsia="Georgia" w:hAnsi="Georgia" w:cs="Georgia"/>
          <w:color w:val="000000"/>
        </w:rPr>
        <w:t>2.2 Risk, trust, and integrity-based legitimacy (</w:t>
      </w:r>
      <w:hyperlink r:id="rId11">
        <w:r>
          <w:rPr>
            <w:rFonts w:ascii="helvetica neue" w:eastAsia="helvetica neue" w:hAnsi="helvetica neue" w:cs="helvetica neue"/>
            <w:u w:val="single"/>
          </w:rPr>
          <w:t>Terwel et al., 2009</w:t>
        </w:r>
      </w:hyperlink>
      <w:r>
        <w:rPr>
          <w:rFonts w:eastAsia="Georgia" w:hAnsi="Georgia" w:cs="Georgia"/>
          <w:color w:val="000000"/>
        </w:rPr>
        <w:t xml:space="preserve">; </w:t>
      </w:r>
      <w:hyperlink r:id="rId12">
        <w:r>
          <w:rPr>
            <w:rFonts w:ascii="helvetica neue" w:eastAsia="helvetica neue" w:hAnsi="helvetica neue" w:cs="helvetica neue"/>
            <w:u w:val="single"/>
          </w:rPr>
          <w:t>San Román-Niaves et al., 2026</w:t>
        </w:r>
      </w:hyperlink>
      <w:r>
        <w:rPr>
          <w:rFonts w:eastAsia="Georgia" w:hAnsi="Georgia" w:cs="Georgia"/>
          <w:color w:val="000000"/>
        </w:rPr>
        <w:t xml:space="preserve">; </w:t>
      </w:r>
      <w:hyperlink r:id="rId13">
        <w:r>
          <w:rPr>
            <w:rFonts w:ascii="helvetica neue" w:eastAsia="helvetica neue" w:hAnsi="helvetica neue" w:cs="helvetica neue"/>
            <w:u w:val="single"/>
          </w:rPr>
          <w:t>Cox, Pidgeon, &amp; Spence, 2021</w:t>
        </w:r>
      </w:hyperlink>
      <w:r>
        <w:rPr>
          <w:rFonts w:eastAsia="Georgia" w:hAnsi="Georgia" w:cs="Georgia"/>
          <w:color w:val="000000"/>
        </w:rPr>
        <w:t>)</w:t>
      </w:r>
    </w:p>
    <w:p w14:paraId="50650A62" w14:textId="77777777" w:rsidR="00BA780F" w:rsidRDefault="00000000">
      <w:pPr>
        <w:numPr>
          <w:ilvl w:val="0"/>
          <w:numId w:val="3"/>
        </w:numPr>
        <w:spacing w:before="105" w:after="105" w:line="360" w:lineRule="auto"/>
      </w:pPr>
      <w:r>
        <w:rPr>
          <w:rFonts w:eastAsia="Georgia" w:hAnsi="Georgia" w:cs="Georgia"/>
          <w:color w:val="000000"/>
        </w:rPr>
        <w:t>2.3 Place-based and US Gulf Coast acceptance (</w:t>
      </w:r>
      <w:hyperlink r:id="rId14">
        <w:r>
          <w:rPr>
            <w:rFonts w:ascii="helvetica neue" w:eastAsia="helvetica neue" w:hAnsi="helvetica neue" w:cs="helvetica neue"/>
            <w:u w:val="single"/>
          </w:rPr>
          <w:t>Atkinson, Dankel, &amp; Romanak, 2024</w:t>
        </w:r>
      </w:hyperlink>
      <w:r>
        <w:rPr>
          <w:rFonts w:eastAsia="Georgia" w:hAnsi="Georgia" w:cs="Georgia"/>
          <w:color w:val="000000"/>
        </w:rPr>
        <w:t xml:space="preserve">; </w:t>
      </w:r>
      <w:hyperlink r:id="rId15">
        <w:r>
          <w:rPr>
            <w:rFonts w:ascii="helvetica neue" w:eastAsia="helvetica neue" w:hAnsi="helvetica neue" w:cs="helvetica neue"/>
            <w:u w:val="single"/>
          </w:rPr>
          <w:t>Krause et al., 2014</w:t>
        </w:r>
      </w:hyperlink>
      <w:r>
        <w:rPr>
          <w:rFonts w:eastAsia="Georgia" w:hAnsi="Georgia" w:cs="Georgia"/>
          <w:color w:val="000000"/>
        </w:rPr>
        <w:t xml:space="preserve">; </w:t>
      </w:r>
      <w:hyperlink r:id="rId16">
        <w:r>
          <w:rPr>
            <w:rFonts w:ascii="helvetica neue" w:eastAsia="helvetica neue" w:hAnsi="helvetica neue" w:cs="helvetica neue"/>
            <w:u w:val="single"/>
          </w:rPr>
          <w:t>Mabon, Kita, &amp; Xue, 2017</w:t>
        </w:r>
      </w:hyperlink>
      <w:r>
        <w:rPr>
          <w:rFonts w:eastAsia="Georgia" w:hAnsi="Georgia" w:cs="Georgia"/>
          <w:color w:val="000000"/>
        </w:rPr>
        <w:t>)</w:t>
      </w:r>
    </w:p>
    <w:p w14:paraId="4F4C3927" w14:textId="77777777" w:rsidR="00BA780F" w:rsidRDefault="00000000">
      <w:pPr>
        <w:numPr>
          <w:ilvl w:val="0"/>
          <w:numId w:val="3"/>
        </w:numPr>
        <w:spacing w:before="105" w:after="105" w:line="360" w:lineRule="auto"/>
      </w:pPr>
      <w:r>
        <w:rPr>
          <w:rFonts w:eastAsia="Georgia" w:hAnsi="Georgia" w:cs="Georgia"/>
          <w:color w:val="000000"/>
        </w:rPr>
        <w:t>2.4 Lock-in critique and depoliticization (</w:t>
      </w:r>
      <w:hyperlink r:id="rId17">
        <w:r>
          <w:rPr>
            <w:rFonts w:ascii="helvetica neue" w:eastAsia="helvetica neue" w:hAnsi="helvetica neue" w:cs="helvetica neue"/>
            <w:u w:val="single"/>
          </w:rPr>
          <w:t>Hansson et al., 2022</w:t>
        </w:r>
      </w:hyperlink>
      <w:r>
        <w:rPr>
          <w:rFonts w:eastAsia="Georgia" w:hAnsi="Georgia" w:cs="Georgia"/>
          <w:color w:val="000000"/>
        </w:rPr>
        <w:t xml:space="preserve">; </w:t>
      </w:r>
      <w:hyperlink r:id="rId18">
        <w:r>
          <w:rPr>
            <w:rFonts w:ascii="helvetica neue" w:eastAsia="helvetica neue" w:hAnsi="helvetica neue" w:cs="helvetica neue"/>
            <w:u w:val="single"/>
          </w:rPr>
          <w:t>Thomas, Pidgeon, &amp; Roberts, 2018</w:t>
        </w:r>
      </w:hyperlink>
      <w:r>
        <w:rPr>
          <w:rFonts w:eastAsia="Georgia" w:hAnsi="Georgia" w:cs="Georgia"/>
          <w:color w:val="000000"/>
        </w:rPr>
        <w:t>)</w:t>
      </w:r>
    </w:p>
    <w:p w14:paraId="3A39680F" w14:textId="77777777" w:rsidR="00BA780F" w:rsidRDefault="00000000">
      <w:pPr>
        <w:numPr>
          <w:ilvl w:val="0"/>
          <w:numId w:val="3"/>
        </w:numPr>
        <w:spacing w:before="105" w:after="105" w:line="360" w:lineRule="auto"/>
      </w:pPr>
      <w:r>
        <w:rPr>
          <w:rFonts w:eastAsia="Georgia" w:hAnsi="Georgia" w:cs="Georgia"/>
          <w:color w:val="000000"/>
        </w:rPr>
        <w:t>2.5 Public engagement and deliberation (</w:t>
      </w:r>
      <w:hyperlink r:id="rId19">
        <w:r>
          <w:rPr>
            <w:rFonts w:ascii="helvetica neue" w:eastAsia="helvetica neue" w:hAnsi="helvetica neue" w:cs="helvetica neue"/>
            <w:u w:val="single"/>
          </w:rPr>
          <w:t>Gough, Cunningham, &amp; Mander, 2018</w:t>
        </w:r>
      </w:hyperlink>
      <w:r>
        <w:rPr>
          <w:rFonts w:eastAsia="Georgia" w:hAnsi="Georgia" w:cs="Georgia"/>
          <w:color w:val="000000"/>
        </w:rPr>
        <w:t xml:space="preserve">; </w:t>
      </w:r>
      <w:hyperlink r:id="rId20">
        <w:r>
          <w:rPr>
            <w:rFonts w:ascii="helvetica neue" w:eastAsia="helvetica neue" w:hAnsi="helvetica neue" w:cs="helvetica neue"/>
            <w:u w:val="single"/>
          </w:rPr>
          <w:t>Xenias &amp; Whitmarsh, 2018</w:t>
        </w:r>
      </w:hyperlink>
      <w:r>
        <w:rPr>
          <w:rFonts w:eastAsia="Georgia" w:hAnsi="Georgia" w:cs="Georgia"/>
          <w:color w:val="000000"/>
        </w:rPr>
        <w:t xml:space="preserve">; </w:t>
      </w:r>
      <w:hyperlink r:id="rId21">
        <w:r>
          <w:rPr>
            <w:rFonts w:ascii="helvetica neue" w:eastAsia="helvetica neue" w:hAnsi="helvetica neue" w:cs="helvetica neue"/>
            <w:u w:val="single"/>
          </w:rPr>
          <w:t>Nielsen, Stavrianakis, &amp; Morrison, 2022</w:t>
        </w:r>
      </w:hyperlink>
      <w:r>
        <w:rPr>
          <w:rFonts w:eastAsia="Georgia" w:hAnsi="Georgia" w:cs="Georgia"/>
          <w:color w:val="000000"/>
        </w:rPr>
        <w:t>)</w:t>
      </w:r>
    </w:p>
    <w:p w14:paraId="4759C796" w14:textId="77777777" w:rsidR="00BA780F" w:rsidRDefault="00000000">
      <w:pPr>
        <w:spacing w:before="315" w:after="105" w:line="360" w:lineRule="auto"/>
        <w:ind w:left="-30"/>
      </w:pPr>
      <w:bookmarkStart w:id="6" w:name="bm_3_energy_infrastructure_siting_9f6568"/>
      <w:r>
        <w:rPr>
          <w:rFonts w:eastAsia="Georgia" w:hAnsi="Georgia" w:cs="Georgia"/>
          <w:b/>
          <w:color w:val="000000"/>
          <w:sz w:val="24"/>
        </w:rPr>
        <w:t>3. Energy infrastructure siting beyond NIMBY</w:t>
      </w:r>
      <w:bookmarkEnd w:id="6"/>
    </w:p>
    <w:p w14:paraId="5A4AB1EA" w14:textId="77777777" w:rsidR="00BA780F" w:rsidRDefault="00000000">
      <w:pPr>
        <w:numPr>
          <w:ilvl w:val="0"/>
          <w:numId w:val="4"/>
        </w:numPr>
        <w:spacing w:before="105" w:after="105" w:line="360" w:lineRule="auto"/>
      </w:pPr>
      <w:r>
        <w:rPr>
          <w:rFonts w:eastAsia="Georgia" w:hAnsi="Georgia" w:cs="Georgia"/>
          <w:color w:val="000000"/>
        </w:rPr>
        <w:t>3.1 The social acceptance triangle (</w:t>
      </w:r>
      <w:hyperlink r:id="rId22">
        <w:r>
          <w:rPr>
            <w:rFonts w:ascii="helvetica neue" w:eastAsia="helvetica neue" w:hAnsi="helvetica neue" w:cs="helvetica neue"/>
            <w:u w:val="single"/>
          </w:rPr>
          <w:t>Wüstenhagen, Wolsink, &amp; Bürer, 2007</w:t>
        </w:r>
      </w:hyperlink>
      <w:r>
        <w:rPr>
          <w:rFonts w:eastAsia="Georgia" w:hAnsi="Georgia" w:cs="Georgia"/>
          <w:color w:val="000000"/>
        </w:rPr>
        <w:t>)</w:t>
      </w:r>
    </w:p>
    <w:p w14:paraId="7E983179" w14:textId="77777777" w:rsidR="00BA780F" w:rsidRDefault="00000000">
      <w:pPr>
        <w:numPr>
          <w:ilvl w:val="0"/>
          <w:numId w:val="4"/>
        </w:numPr>
        <w:spacing w:before="105" w:after="105" w:line="360" w:lineRule="auto"/>
      </w:pPr>
      <w:r>
        <w:rPr>
          <w:rFonts w:eastAsia="Georgia" w:hAnsi="Georgia" w:cs="Georgia"/>
          <w:color w:val="000000"/>
        </w:rPr>
        <w:t>3.2 Theoretical dismantling of NIMBY (</w:t>
      </w:r>
      <w:hyperlink r:id="rId23">
        <w:r>
          <w:rPr>
            <w:rFonts w:ascii="helvetica neue" w:eastAsia="helvetica neue" w:hAnsi="helvetica neue" w:cs="helvetica neue"/>
            <w:u w:val="single"/>
          </w:rPr>
          <w:t>Wolsink, 2006</w:t>
        </w:r>
      </w:hyperlink>
      <w:r>
        <w:rPr>
          <w:rFonts w:eastAsia="Georgia" w:hAnsi="Georgia" w:cs="Georgia"/>
          <w:color w:val="000000"/>
        </w:rPr>
        <w:t xml:space="preserve">; </w:t>
      </w:r>
      <w:hyperlink r:id="rId24">
        <w:r>
          <w:rPr>
            <w:rFonts w:ascii="helvetica neue" w:eastAsia="helvetica neue" w:hAnsi="helvetica neue" w:cs="helvetica neue"/>
            <w:u w:val="single"/>
          </w:rPr>
          <w:t>Devine-Wright, 2009</w:t>
        </w:r>
      </w:hyperlink>
      <w:r>
        <w:rPr>
          <w:rFonts w:eastAsia="Georgia" w:hAnsi="Georgia" w:cs="Georgia"/>
          <w:color w:val="000000"/>
        </w:rPr>
        <w:t xml:space="preserve">; </w:t>
      </w:r>
      <w:hyperlink r:id="rId25">
        <w:r>
          <w:rPr>
            <w:rFonts w:ascii="helvetica neue" w:eastAsia="helvetica neue" w:hAnsi="helvetica neue" w:cs="helvetica neue"/>
            <w:u w:val="single"/>
          </w:rPr>
          <w:t>Batel, 2018</w:t>
        </w:r>
      </w:hyperlink>
      <w:r>
        <w:rPr>
          <w:rFonts w:eastAsia="Georgia" w:hAnsi="Georgia" w:cs="Georgia"/>
          <w:color w:val="000000"/>
        </w:rPr>
        <w:t>)</w:t>
      </w:r>
    </w:p>
    <w:p w14:paraId="2FAEFC7F" w14:textId="77777777" w:rsidR="00BA780F" w:rsidRDefault="00000000">
      <w:pPr>
        <w:numPr>
          <w:ilvl w:val="0"/>
          <w:numId w:val="4"/>
        </w:numPr>
        <w:spacing w:before="105" w:after="105" w:line="360" w:lineRule="auto"/>
      </w:pPr>
      <w:r>
        <w:rPr>
          <w:rFonts w:eastAsia="Georgia" w:hAnsi="Georgia" w:cs="Georgia"/>
          <w:color w:val="000000"/>
        </w:rPr>
        <w:t>3.3 Place attachment, identity, and symbolic disruption (</w:t>
      </w:r>
      <w:hyperlink r:id="rId26">
        <w:r>
          <w:rPr>
            <w:rFonts w:ascii="helvetica neue" w:eastAsia="helvetica neue" w:hAnsi="helvetica neue" w:cs="helvetica neue"/>
            <w:u w:val="single"/>
          </w:rPr>
          <w:t>Devine-Wright &amp; Howes, 2010</w:t>
        </w:r>
      </w:hyperlink>
      <w:r>
        <w:rPr>
          <w:rFonts w:eastAsia="Georgia" w:hAnsi="Georgia" w:cs="Georgia"/>
          <w:color w:val="000000"/>
        </w:rPr>
        <w:t xml:space="preserve">; </w:t>
      </w:r>
      <w:hyperlink r:id="rId27">
        <w:r>
          <w:rPr>
            <w:rFonts w:ascii="helvetica neue" w:eastAsia="helvetica neue" w:hAnsi="helvetica neue" w:cs="helvetica neue"/>
            <w:u w:val="single"/>
          </w:rPr>
          <w:t>Devine-Wright &amp; Batel, 2017</w:t>
        </w:r>
      </w:hyperlink>
      <w:r>
        <w:rPr>
          <w:rFonts w:eastAsia="Georgia" w:hAnsi="Georgia" w:cs="Georgia"/>
          <w:color w:val="000000"/>
        </w:rPr>
        <w:t xml:space="preserve">; </w:t>
      </w:r>
      <w:hyperlink r:id="rId28">
        <w:r>
          <w:rPr>
            <w:rFonts w:ascii="helvetica neue" w:eastAsia="helvetica neue" w:hAnsi="helvetica neue" w:cs="helvetica neue"/>
            <w:u w:val="single"/>
          </w:rPr>
          <w:t>Bergquist et al., 2020</w:t>
        </w:r>
      </w:hyperlink>
      <w:r>
        <w:rPr>
          <w:rFonts w:eastAsia="Georgia" w:hAnsi="Georgia" w:cs="Georgia"/>
          <w:color w:val="000000"/>
        </w:rPr>
        <w:t>)</w:t>
      </w:r>
    </w:p>
    <w:p w14:paraId="6719729F" w14:textId="77777777" w:rsidR="00BA780F" w:rsidRDefault="00000000">
      <w:pPr>
        <w:numPr>
          <w:ilvl w:val="0"/>
          <w:numId w:val="4"/>
        </w:numPr>
        <w:spacing w:before="105" w:after="105" w:line="360" w:lineRule="auto"/>
      </w:pPr>
      <w:r>
        <w:rPr>
          <w:rFonts w:eastAsia="Georgia" w:hAnsi="Georgia" w:cs="Georgia"/>
          <w:color w:val="000000"/>
        </w:rPr>
        <w:t>3.4 Fossil-fuel-region acceptance and identity (</w:t>
      </w:r>
      <w:hyperlink r:id="rId29">
        <w:r>
          <w:rPr>
            <w:rFonts w:ascii="helvetica neue" w:eastAsia="helvetica neue" w:hAnsi="helvetica neue" w:cs="helvetica neue"/>
            <w:u w:val="single"/>
          </w:rPr>
          <w:t>Cha, 2020</w:t>
        </w:r>
      </w:hyperlink>
      <w:r>
        <w:rPr>
          <w:rFonts w:eastAsia="Georgia" w:hAnsi="Georgia" w:cs="Georgia"/>
          <w:color w:val="000000"/>
        </w:rPr>
        <w:t>)</w:t>
      </w:r>
    </w:p>
    <w:p w14:paraId="564F1979" w14:textId="77777777" w:rsidR="00BA780F" w:rsidRDefault="00000000">
      <w:pPr>
        <w:spacing w:before="315" w:after="105" w:line="360" w:lineRule="auto"/>
        <w:ind w:left="-30"/>
      </w:pPr>
      <w:bookmarkStart w:id="7" w:name="bm_4_energy_justice_distributive_babb05"/>
      <w:r>
        <w:rPr>
          <w:rFonts w:eastAsia="Georgia" w:hAnsi="Georgia" w:cs="Georgia"/>
          <w:b/>
          <w:color w:val="000000"/>
          <w:sz w:val="24"/>
        </w:rPr>
        <w:t>4. Energy justice — distributive, procedural, recognition</w:t>
      </w:r>
      <w:bookmarkEnd w:id="7"/>
    </w:p>
    <w:p w14:paraId="33911D63" w14:textId="77777777" w:rsidR="00BA780F" w:rsidRDefault="00000000">
      <w:pPr>
        <w:numPr>
          <w:ilvl w:val="0"/>
          <w:numId w:val="5"/>
        </w:numPr>
        <w:spacing w:before="105" w:after="105" w:line="360" w:lineRule="auto"/>
      </w:pPr>
      <w:r>
        <w:rPr>
          <w:rFonts w:eastAsia="Georgia" w:hAnsi="Georgia" w:cs="Georgia"/>
          <w:color w:val="000000"/>
        </w:rPr>
        <w:t>4.1 The triumvirate (</w:t>
      </w:r>
      <w:hyperlink w:anchor="mccauley2013">
        <w:r>
          <w:rPr>
            <w:rFonts w:ascii="helvetica neue" w:eastAsia="helvetica neue" w:hAnsi="helvetica neue" w:cs="helvetica neue"/>
            <w:u w:val="single"/>
          </w:rPr>
          <w:t>McCauley et al., 2013</w:t>
        </w:r>
      </w:hyperlink>
      <w:r>
        <w:rPr>
          <w:rFonts w:eastAsia="Georgia" w:hAnsi="Georgia" w:cs="Georgia"/>
          <w:color w:val="000000"/>
        </w:rPr>
        <w:t xml:space="preserve"> [DOI uncertain]; </w:t>
      </w:r>
      <w:hyperlink r:id="rId30">
        <w:r>
          <w:rPr>
            <w:rFonts w:ascii="helvetica neue" w:eastAsia="helvetica neue" w:hAnsi="helvetica neue" w:cs="helvetica neue"/>
            <w:u w:val="single"/>
          </w:rPr>
          <w:t>Jenkins et al., 2016</w:t>
        </w:r>
      </w:hyperlink>
      <w:r>
        <w:rPr>
          <w:rFonts w:eastAsia="Georgia" w:hAnsi="Georgia" w:cs="Georgia"/>
          <w:color w:val="000000"/>
        </w:rPr>
        <w:t>)</w:t>
      </w:r>
    </w:p>
    <w:p w14:paraId="61211E0E" w14:textId="77777777" w:rsidR="00BA780F" w:rsidRDefault="00000000">
      <w:pPr>
        <w:numPr>
          <w:ilvl w:val="0"/>
          <w:numId w:val="5"/>
        </w:numPr>
        <w:spacing w:before="105" w:after="105" w:line="360" w:lineRule="auto"/>
      </w:pPr>
      <w:r>
        <w:rPr>
          <w:rFonts w:eastAsia="Georgia" w:hAnsi="Georgia" w:cs="Georgia"/>
          <w:color w:val="000000"/>
        </w:rPr>
        <w:t>4.2 Procedural justice as institutional legitimacy (</w:t>
      </w:r>
      <w:hyperlink r:id="rId31">
        <w:r>
          <w:rPr>
            <w:rFonts w:ascii="helvetica neue" w:eastAsia="helvetica neue" w:hAnsi="helvetica neue" w:cs="helvetica neue"/>
            <w:u w:val="single"/>
          </w:rPr>
          <w:t>Tyler, 2003</w:t>
        </w:r>
      </w:hyperlink>
      <w:r>
        <w:rPr>
          <w:rFonts w:eastAsia="Georgia" w:hAnsi="Georgia" w:cs="Georgia"/>
          <w:color w:val="000000"/>
        </w:rPr>
        <w:t>)</w:t>
      </w:r>
    </w:p>
    <w:p w14:paraId="4E8AD6AD" w14:textId="77777777" w:rsidR="00BA780F" w:rsidRDefault="00000000">
      <w:pPr>
        <w:numPr>
          <w:ilvl w:val="0"/>
          <w:numId w:val="5"/>
        </w:numPr>
        <w:spacing w:before="105" w:after="105" w:line="360" w:lineRule="auto"/>
      </w:pPr>
      <w:r>
        <w:rPr>
          <w:rFonts w:eastAsia="Georgia" w:hAnsi="Georgia" w:cs="Georgia"/>
          <w:color w:val="000000"/>
        </w:rPr>
        <w:t>4.3 Recognition as foundation (</w:t>
      </w:r>
      <w:hyperlink r:id="rId32">
        <w:r>
          <w:rPr>
            <w:rFonts w:ascii="helvetica neue" w:eastAsia="helvetica neue" w:hAnsi="helvetica neue" w:cs="helvetica neue"/>
            <w:u w:val="single"/>
          </w:rPr>
          <w:t>Schlosberg, 2007</w:t>
        </w:r>
      </w:hyperlink>
      <w:r>
        <w:rPr>
          <w:rFonts w:eastAsia="Georgia" w:hAnsi="Georgia" w:cs="Georgia"/>
          <w:color w:val="000000"/>
        </w:rPr>
        <w:t xml:space="preserve">; </w:t>
      </w:r>
      <w:hyperlink r:id="rId33">
        <w:r>
          <w:rPr>
            <w:rFonts w:ascii="helvetica neue" w:eastAsia="helvetica neue" w:hAnsi="helvetica neue" w:cs="helvetica neue"/>
            <w:u w:val="single"/>
          </w:rPr>
          <w:t>Walker &amp; Day, 2012</w:t>
        </w:r>
      </w:hyperlink>
      <w:r>
        <w:rPr>
          <w:rFonts w:eastAsia="Georgia" w:hAnsi="Georgia" w:cs="Georgia"/>
          <w:color w:val="000000"/>
        </w:rPr>
        <w:t>)</w:t>
      </w:r>
    </w:p>
    <w:p w14:paraId="3F5A91A6" w14:textId="77777777" w:rsidR="00BA780F" w:rsidRDefault="00000000">
      <w:pPr>
        <w:numPr>
          <w:ilvl w:val="0"/>
          <w:numId w:val="5"/>
        </w:numPr>
        <w:spacing w:before="105" w:after="105" w:line="360" w:lineRule="auto"/>
      </w:pPr>
      <w:r>
        <w:rPr>
          <w:rFonts w:eastAsia="Georgia" w:hAnsi="Georgia" w:cs="Georgia"/>
          <w:color w:val="000000"/>
        </w:rPr>
        <w:t>4.4 Eight principles and lifecycle ethics (</w:t>
      </w:r>
      <w:hyperlink r:id="rId34">
        <w:r>
          <w:rPr>
            <w:rFonts w:ascii="helvetica neue" w:eastAsia="helvetica neue" w:hAnsi="helvetica neue" w:cs="helvetica neue"/>
            <w:u w:val="single"/>
          </w:rPr>
          <w:t>Sovacool &amp; Dworkin, 2015</w:t>
        </w:r>
      </w:hyperlink>
      <w:r>
        <w:rPr>
          <w:rFonts w:eastAsia="Georgia" w:hAnsi="Georgia" w:cs="Georgia"/>
          <w:color w:val="000000"/>
        </w:rPr>
        <w:t xml:space="preserve">; </w:t>
      </w:r>
      <w:hyperlink r:id="rId35">
        <w:r>
          <w:rPr>
            <w:rFonts w:ascii="helvetica neue" w:eastAsia="helvetica neue" w:hAnsi="helvetica neue" w:cs="helvetica neue"/>
            <w:u w:val="single"/>
          </w:rPr>
          <w:t>Sovacool et al., 2016</w:t>
        </w:r>
      </w:hyperlink>
      <w:r>
        <w:rPr>
          <w:rFonts w:eastAsia="Georgia" w:hAnsi="Georgia" w:cs="Georgia"/>
          <w:color w:val="000000"/>
        </w:rPr>
        <w:t>)</w:t>
      </w:r>
    </w:p>
    <w:p w14:paraId="10926F3D" w14:textId="77777777" w:rsidR="00BA780F" w:rsidRDefault="00000000">
      <w:pPr>
        <w:numPr>
          <w:ilvl w:val="0"/>
          <w:numId w:val="5"/>
        </w:numPr>
        <w:spacing w:before="105" w:after="105" w:line="360" w:lineRule="auto"/>
      </w:pPr>
      <w:r>
        <w:rPr>
          <w:rFonts w:eastAsia="Georgia" w:hAnsi="Georgia" w:cs="Georgia"/>
          <w:color w:val="000000"/>
        </w:rPr>
        <w:lastRenderedPageBreak/>
        <w:t>4.5 Justice in low-carbon transitions (</w:t>
      </w:r>
      <w:hyperlink r:id="rId36">
        <w:r>
          <w:rPr>
            <w:rFonts w:ascii="helvetica neue" w:eastAsia="helvetica neue" w:hAnsi="helvetica neue" w:cs="helvetica neue"/>
            <w:u w:val="single"/>
          </w:rPr>
          <w:t>Jenkins, Sovacool, &amp; McCauley, 2018</w:t>
        </w:r>
      </w:hyperlink>
      <w:r>
        <w:rPr>
          <w:rFonts w:eastAsia="Georgia" w:hAnsi="Georgia" w:cs="Georgia"/>
          <w:color w:val="000000"/>
        </w:rPr>
        <w:t xml:space="preserve">; </w:t>
      </w:r>
      <w:hyperlink r:id="rId37">
        <w:r>
          <w:rPr>
            <w:rFonts w:ascii="helvetica neue" w:eastAsia="helvetica neue" w:hAnsi="helvetica neue" w:cs="helvetica neue"/>
            <w:u w:val="single"/>
          </w:rPr>
          <w:t>McCauley et al., 2019</w:t>
        </w:r>
      </w:hyperlink>
      <w:r>
        <w:rPr>
          <w:rFonts w:eastAsia="Georgia" w:hAnsi="Georgia" w:cs="Georgia"/>
          <w:color w:val="000000"/>
        </w:rPr>
        <w:t xml:space="preserve">; </w:t>
      </w:r>
      <w:hyperlink r:id="rId38">
        <w:r>
          <w:rPr>
            <w:rFonts w:ascii="helvetica neue" w:eastAsia="helvetica neue" w:hAnsi="helvetica neue" w:cs="helvetica neue"/>
            <w:u w:val="single"/>
          </w:rPr>
          <w:t>Hall, Hards, &amp; Bulkeley, 2013</w:t>
        </w:r>
      </w:hyperlink>
      <w:r>
        <w:rPr>
          <w:rFonts w:eastAsia="Georgia" w:hAnsi="Georgia" w:cs="Georgia"/>
          <w:color w:val="000000"/>
        </w:rPr>
        <w:t>)</w:t>
      </w:r>
    </w:p>
    <w:p w14:paraId="5CC23A25" w14:textId="77777777" w:rsidR="00BA780F" w:rsidRDefault="00000000">
      <w:pPr>
        <w:spacing w:before="315" w:after="105" w:line="360" w:lineRule="auto"/>
        <w:ind w:left="-30"/>
      </w:pPr>
      <w:bookmarkStart w:id="8" w:name="bm_5_social_license_to_operate"/>
      <w:r>
        <w:rPr>
          <w:rFonts w:eastAsia="Georgia" w:hAnsi="Georgia" w:cs="Georgia"/>
          <w:b/>
          <w:color w:val="000000"/>
          <w:sz w:val="24"/>
        </w:rPr>
        <w:t>5. Social license to operate</w:t>
      </w:r>
      <w:bookmarkEnd w:id="8"/>
    </w:p>
    <w:p w14:paraId="223D861E" w14:textId="77777777" w:rsidR="00BA780F" w:rsidRDefault="00000000">
      <w:pPr>
        <w:numPr>
          <w:ilvl w:val="0"/>
          <w:numId w:val="6"/>
        </w:numPr>
        <w:spacing w:before="105" w:after="105" w:line="360" w:lineRule="auto"/>
      </w:pPr>
      <w:r>
        <w:rPr>
          <w:rFonts w:eastAsia="Georgia" w:hAnsi="Georgia" w:cs="Georgia"/>
          <w:color w:val="000000"/>
        </w:rPr>
        <w:t>5.1 Origins and conceptual baseline (</w:t>
      </w:r>
      <w:hyperlink r:id="rId39">
        <w:r>
          <w:rPr>
            <w:rFonts w:ascii="helvetica neue" w:eastAsia="helvetica neue" w:hAnsi="helvetica neue" w:cs="helvetica neue"/>
            <w:u w:val="single"/>
          </w:rPr>
          <w:t>Prno &amp; Slocombe, 2012</w:t>
        </w:r>
      </w:hyperlink>
      <w:r>
        <w:rPr>
          <w:rFonts w:eastAsia="Georgia" w:hAnsi="Georgia" w:cs="Georgia"/>
          <w:color w:val="000000"/>
        </w:rPr>
        <w:t>)</w:t>
      </w:r>
    </w:p>
    <w:p w14:paraId="2D4EFD39" w14:textId="77777777" w:rsidR="00BA780F" w:rsidRDefault="00000000">
      <w:pPr>
        <w:numPr>
          <w:ilvl w:val="0"/>
          <w:numId w:val="6"/>
        </w:numPr>
        <w:spacing w:before="105" w:after="105" w:line="360" w:lineRule="auto"/>
      </w:pPr>
      <w:r>
        <w:rPr>
          <w:rFonts w:eastAsia="Georgia" w:hAnsi="Georgia" w:cs="Georgia"/>
          <w:color w:val="000000"/>
        </w:rPr>
        <w:t>5.2 SLO measurement: the trust–fairness–acceptance pathway (</w:t>
      </w:r>
      <w:hyperlink r:id="rId40">
        <w:r>
          <w:rPr>
            <w:rFonts w:ascii="helvetica neue" w:eastAsia="helvetica neue" w:hAnsi="helvetica neue" w:cs="helvetica neue"/>
            <w:u w:val="single"/>
          </w:rPr>
          <w:t>Moffat &amp; Zhang, 2014</w:t>
        </w:r>
      </w:hyperlink>
      <w:r>
        <w:rPr>
          <w:rFonts w:eastAsia="Georgia" w:hAnsi="Georgia" w:cs="Georgia"/>
          <w:color w:val="000000"/>
        </w:rPr>
        <w:t>)</w:t>
      </w:r>
    </w:p>
    <w:p w14:paraId="4A5542C2" w14:textId="77777777" w:rsidR="00BA780F" w:rsidRDefault="00000000">
      <w:pPr>
        <w:numPr>
          <w:ilvl w:val="0"/>
          <w:numId w:val="6"/>
        </w:numPr>
        <w:spacing w:before="105" w:after="105" w:line="360" w:lineRule="auto"/>
      </w:pPr>
      <w:r>
        <w:rPr>
          <w:rFonts w:eastAsia="Georgia" w:hAnsi="Georgia" w:cs="Georgia"/>
          <w:color w:val="000000"/>
        </w:rPr>
        <w:t>5.3 SLO as legitimacy by another name (</w:t>
      </w:r>
      <w:hyperlink r:id="rId41">
        <w:r>
          <w:rPr>
            <w:rFonts w:ascii="helvetica neue" w:eastAsia="helvetica neue" w:hAnsi="helvetica neue" w:cs="helvetica neue"/>
            <w:u w:val="single"/>
          </w:rPr>
          <w:t>Gehman, Lefsrud, &amp; Fast, 2017</w:t>
        </w:r>
      </w:hyperlink>
      <w:r>
        <w:rPr>
          <w:rFonts w:eastAsia="Georgia" w:hAnsi="Georgia" w:cs="Georgia"/>
          <w:color w:val="000000"/>
        </w:rPr>
        <w:t>)</w:t>
      </w:r>
    </w:p>
    <w:p w14:paraId="43EED827" w14:textId="77777777" w:rsidR="00BA780F" w:rsidRDefault="00000000">
      <w:pPr>
        <w:numPr>
          <w:ilvl w:val="0"/>
          <w:numId w:val="6"/>
        </w:numPr>
        <w:spacing w:before="105" w:after="105" w:line="360" w:lineRule="auto"/>
      </w:pPr>
      <w:r>
        <w:rPr>
          <w:rFonts w:eastAsia="Georgia" w:hAnsi="Georgia" w:cs="Georgia"/>
          <w:color w:val="000000"/>
        </w:rPr>
        <w:t>5.4 Critiques: vagueness, corporate capture, "political spin" (</w:t>
      </w:r>
      <w:hyperlink r:id="rId42">
        <w:r>
          <w:rPr>
            <w:rFonts w:ascii="helvetica neue" w:eastAsia="helvetica neue" w:hAnsi="helvetica neue" w:cs="helvetica neue"/>
            <w:u w:val="single"/>
          </w:rPr>
          <w:t>Owen &amp; Kemp, 2013</w:t>
        </w:r>
      </w:hyperlink>
      <w:r>
        <w:rPr>
          <w:rFonts w:eastAsia="Georgia" w:hAnsi="Georgia" w:cs="Georgia"/>
          <w:color w:val="000000"/>
        </w:rPr>
        <w:t xml:space="preserve">; </w:t>
      </w:r>
      <w:hyperlink r:id="rId43">
        <w:r>
          <w:rPr>
            <w:rFonts w:ascii="helvetica neue" w:eastAsia="helvetica neue" w:hAnsi="helvetica neue" w:cs="helvetica neue"/>
            <w:u w:val="single"/>
          </w:rPr>
          <w:t>Boutilier, 2021</w:t>
        </w:r>
      </w:hyperlink>
      <w:r>
        <w:rPr>
          <w:rFonts w:eastAsia="Georgia" w:hAnsi="Georgia" w:cs="Georgia"/>
          <w:color w:val="000000"/>
        </w:rPr>
        <w:t>)</w:t>
      </w:r>
    </w:p>
    <w:p w14:paraId="3CE73B8A" w14:textId="77777777" w:rsidR="00BA780F" w:rsidRDefault="00000000">
      <w:pPr>
        <w:numPr>
          <w:ilvl w:val="0"/>
          <w:numId w:val="6"/>
        </w:numPr>
        <w:spacing w:before="105" w:after="105" w:line="360" w:lineRule="auto"/>
      </w:pPr>
      <w:r>
        <w:rPr>
          <w:rFonts w:eastAsia="Georgia" w:hAnsi="Georgia" w:cs="Georgia"/>
          <w:color w:val="000000"/>
        </w:rPr>
        <w:t>5.5 SLO across energy sectors and for CCS (</w:t>
      </w:r>
      <w:hyperlink r:id="rId44">
        <w:r>
          <w:rPr>
            <w:rFonts w:ascii="helvetica neue" w:eastAsia="helvetica neue" w:hAnsi="helvetica neue" w:cs="helvetica neue"/>
            <w:u w:val="single"/>
          </w:rPr>
          <w:t>Hall, Lacey, Carr-Cornish, &amp; Dowd, 2015</w:t>
        </w:r>
      </w:hyperlink>
      <w:r>
        <w:rPr>
          <w:rFonts w:eastAsia="Georgia" w:hAnsi="Georgia" w:cs="Georgia"/>
          <w:color w:val="000000"/>
        </w:rPr>
        <w:t xml:space="preserve">; </w:t>
      </w:r>
      <w:hyperlink r:id="rId45">
        <w:r>
          <w:rPr>
            <w:rFonts w:ascii="helvetica neue" w:eastAsia="helvetica neue" w:hAnsi="helvetica neue" w:cs="helvetica neue"/>
            <w:u w:val="single"/>
          </w:rPr>
          <w:t>Gough et al., 2018</w:t>
        </w:r>
      </w:hyperlink>
      <w:r>
        <w:rPr>
          <w:rFonts w:eastAsia="Georgia" w:hAnsi="Georgia" w:cs="Georgia"/>
          <w:color w:val="000000"/>
        </w:rPr>
        <w:t xml:space="preserve">; </w:t>
      </w:r>
      <w:hyperlink r:id="rId46">
        <w:r>
          <w:rPr>
            <w:rFonts w:ascii="helvetica neue" w:eastAsia="helvetica neue" w:hAnsi="helvetica neue" w:cs="helvetica neue"/>
            <w:u w:val="single"/>
          </w:rPr>
          <w:t>Dowd &amp; James, 2014</w:t>
        </w:r>
      </w:hyperlink>
      <w:r>
        <w:rPr>
          <w:rFonts w:eastAsia="Georgia" w:hAnsi="Georgia" w:cs="Georgia"/>
          <w:color w:val="000000"/>
        </w:rPr>
        <w:t>)</w:t>
      </w:r>
    </w:p>
    <w:p w14:paraId="0DE40224" w14:textId="77777777" w:rsidR="00BA780F" w:rsidRDefault="00000000">
      <w:pPr>
        <w:numPr>
          <w:ilvl w:val="0"/>
          <w:numId w:val="6"/>
        </w:numPr>
        <w:spacing w:before="105" w:after="105" w:line="360" w:lineRule="auto"/>
      </w:pPr>
      <w:r>
        <w:rPr>
          <w:rFonts w:eastAsia="Georgia" w:hAnsi="Georgia" w:cs="Georgia"/>
          <w:color w:val="000000"/>
        </w:rPr>
        <w:t>5.6 Intersectional and justice-grounded SLO (</w:t>
      </w:r>
      <w:hyperlink r:id="rId47">
        <w:r>
          <w:rPr>
            <w:rFonts w:ascii="helvetica neue" w:eastAsia="helvetica neue" w:hAnsi="helvetica neue" w:cs="helvetica neue"/>
            <w:u w:val="single"/>
          </w:rPr>
          <w:t>Minadakis &amp; Vega-Araújo, 2024</w:t>
        </w:r>
      </w:hyperlink>
      <w:r>
        <w:rPr>
          <w:rFonts w:eastAsia="Georgia" w:hAnsi="Georgia" w:cs="Georgia"/>
          <w:color w:val="000000"/>
        </w:rPr>
        <w:t xml:space="preserve">; </w:t>
      </w:r>
      <w:hyperlink r:id="rId48">
        <w:r>
          <w:rPr>
            <w:rFonts w:ascii="helvetica neue" w:eastAsia="helvetica neue" w:hAnsi="helvetica neue" w:cs="helvetica neue"/>
            <w:u w:val="single"/>
          </w:rPr>
          <w:t>Ó Maonaigh, Fitzgerald, &amp; Reilly, 2025</w:t>
        </w:r>
      </w:hyperlink>
      <w:r>
        <w:rPr>
          <w:rFonts w:eastAsia="Georgia" w:hAnsi="Georgia" w:cs="Georgia"/>
          <w:color w:val="000000"/>
        </w:rPr>
        <w:t>)</w:t>
      </w:r>
    </w:p>
    <w:p w14:paraId="7F32CCDB" w14:textId="77777777" w:rsidR="00BA780F" w:rsidRDefault="00000000">
      <w:pPr>
        <w:numPr>
          <w:ilvl w:val="0"/>
          <w:numId w:val="6"/>
        </w:numPr>
        <w:spacing w:before="105" w:after="105" w:line="360" w:lineRule="auto"/>
      </w:pPr>
      <w:r>
        <w:rPr>
          <w:rFonts w:eastAsia="Georgia" w:hAnsi="Georgia" w:cs="Georgia"/>
          <w:color w:val="000000"/>
        </w:rPr>
        <w:t>5.7 SLO's limits with Indigenous rights (</w:t>
      </w:r>
      <w:hyperlink r:id="rId49">
        <w:r>
          <w:rPr>
            <w:rFonts w:ascii="helvetica neue" w:eastAsia="helvetica neue" w:hAnsi="helvetica neue" w:cs="helvetica neue"/>
            <w:u w:val="single"/>
          </w:rPr>
          <w:t>Horowitz et al., 2018</w:t>
        </w:r>
      </w:hyperlink>
      <w:r>
        <w:rPr>
          <w:rFonts w:eastAsia="Georgia" w:hAnsi="Georgia" w:cs="Georgia"/>
          <w:color w:val="000000"/>
        </w:rPr>
        <w:t>)</w:t>
      </w:r>
    </w:p>
    <w:p w14:paraId="5AE9ED16" w14:textId="77777777" w:rsidR="00BA780F" w:rsidRDefault="00000000">
      <w:pPr>
        <w:spacing w:before="315" w:after="105" w:line="360" w:lineRule="auto"/>
        <w:ind w:left="-30"/>
      </w:pPr>
      <w:bookmarkStart w:id="9" w:name="bm_6_indigenous_sovereignty_and_c_37223b"/>
      <w:r>
        <w:rPr>
          <w:rFonts w:eastAsia="Georgia" w:hAnsi="Georgia" w:cs="Georgia"/>
          <w:b/>
          <w:color w:val="000000"/>
          <w:sz w:val="24"/>
        </w:rPr>
        <w:t>6. Indigenous sovereignty and contested energy infrastructure</w:t>
      </w:r>
      <w:bookmarkEnd w:id="9"/>
    </w:p>
    <w:p w14:paraId="5B3944D3" w14:textId="77777777" w:rsidR="00BA780F" w:rsidRDefault="00000000">
      <w:pPr>
        <w:numPr>
          <w:ilvl w:val="0"/>
          <w:numId w:val="7"/>
        </w:numPr>
        <w:spacing w:before="105" w:after="105" w:line="360" w:lineRule="auto"/>
      </w:pPr>
      <w:r>
        <w:rPr>
          <w:rFonts w:eastAsia="Georgia" w:hAnsi="Georgia" w:cs="Georgia"/>
          <w:color w:val="000000"/>
        </w:rPr>
        <w:t>6.1 Settler colonialism, ecology, and collective continuance (</w:t>
      </w:r>
      <w:hyperlink r:id="rId50">
        <w:r>
          <w:rPr>
            <w:rFonts w:ascii="helvetica neue" w:eastAsia="helvetica neue" w:hAnsi="helvetica neue" w:cs="helvetica neue"/>
            <w:u w:val="single"/>
          </w:rPr>
          <w:t>Whyte, 2018</w:t>
        </w:r>
      </w:hyperlink>
      <w:r>
        <w:rPr>
          <w:rFonts w:eastAsia="Georgia" w:hAnsi="Georgia" w:cs="Georgia"/>
          <w:color w:val="000000"/>
        </w:rPr>
        <w:t xml:space="preserve">; </w:t>
      </w:r>
      <w:hyperlink r:id="rId51">
        <w:r>
          <w:rPr>
            <w:rFonts w:ascii="helvetica neue" w:eastAsia="helvetica neue" w:hAnsi="helvetica neue" w:cs="helvetica neue"/>
            <w:u w:val="single"/>
          </w:rPr>
          <w:t>Whyte, 2020</w:t>
        </w:r>
      </w:hyperlink>
      <w:r>
        <w:rPr>
          <w:rFonts w:eastAsia="Georgia" w:hAnsi="Georgia" w:cs="Georgia"/>
          <w:color w:val="000000"/>
        </w:rPr>
        <w:t>)</w:t>
      </w:r>
    </w:p>
    <w:p w14:paraId="3F1238B4" w14:textId="77777777" w:rsidR="00BA780F" w:rsidRDefault="00000000">
      <w:pPr>
        <w:numPr>
          <w:ilvl w:val="0"/>
          <w:numId w:val="7"/>
        </w:numPr>
        <w:spacing w:before="105" w:after="105" w:line="360" w:lineRule="auto"/>
      </w:pPr>
      <w:r>
        <w:rPr>
          <w:rFonts w:eastAsia="Georgia" w:hAnsi="Georgia" w:cs="Georgia"/>
          <w:color w:val="000000"/>
        </w:rPr>
        <w:t>6.2 The recognition critique (</w:t>
      </w:r>
      <w:hyperlink r:id="rId52">
        <w:r>
          <w:rPr>
            <w:rFonts w:ascii="helvetica neue" w:eastAsia="helvetica neue" w:hAnsi="helvetica neue" w:cs="helvetica neue"/>
            <w:u w:val="single"/>
          </w:rPr>
          <w:t>Coulthard, 2014</w:t>
        </w:r>
      </w:hyperlink>
      <w:r>
        <w:rPr>
          <w:rFonts w:eastAsia="Georgia" w:hAnsi="Georgia" w:cs="Georgia"/>
          <w:color w:val="000000"/>
        </w:rPr>
        <w:t xml:space="preserve">; </w:t>
      </w:r>
      <w:hyperlink w:anchor="giliowhitaker2019">
        <w:r>
          <w:rPr>
            <w:rFonts w:ascii="helvetica neue" w:eastAsia="helvetica neue" w:hAnsi="helvetica neue" w:cs="helvetica neue"/>
            <w:u w:val="single"/>
          </w:rPr>
          <w:t>Gilio-Whitaker, 2019</w:t>
        </w:r>
      </w:hyperlink>
      <w:r>
        <w:rPr>
          <w:rFonts w:eastAsia="Georgia" w:hAnsi="Georgia" w:cs="Georgia"/>
          <w:color w:val="000000"/>
        </w:rPr>
        <w:t>)</w:t>
      </w:r>
    </w:p>
    <w:p w14:paraId="39163A5E" w14:textId="77777777" w:rsidR="00BA780F" w:rsidRDefault="00000000">
      <w:pPr>
        <w:numPr>
          <w:ilvl w:val="0"/>
          <w:numId w:val="7"/>
        </w:numPr>
        <w:spacing w:before="105" w:after="105" w:line="360" w:lineRule="auto"/>
      </w:pPr>
      <w:r>
        <w:rPr>
          <w:rFonts w:eastAsia="Georgia" w:hAnsi="Georgia" w:cs="Georgia"/>
          <w:color w:val="000000"/>
        </w:rPr>
        <w:t>6.3 Pipelines as "invasive infrastructures" and DAPL (</w:t>
      </w:r>
      <w:hyperlink r:id="rId53">
        <w:r>
          <w:rPr>
            <w:rFonts w:ascii="helvetica neue" w:eastAsia="helvetica neue" w:hAnsi="helvetica neue" w:cs="helvetica neue"/>
            <w:u w:val="single"/>
          </w:rPr>
          <w:t>Spice, 2018</w:t>
        </w:r>
      </w:hyperlink>
      <w:r>
        <w:rPr>
          <w:rFonts w:eastAsia="Georgia" w:hAnsi="Georgia" w:cs="Georgia"/>
          <w:color w:val="000000"/>
        </w:rPr>
        <w:t xml:space="preserve">; </w:t>
      </w:r>
      <w:hyperlink w:anchor="estes2019">
        <w:r>
          <w:rPr>
            <w:rFonts w:ascii="helvetica neue" w:eastAsia="helvetica neue" w:hAnsi="helvetica neue" w:cs="helvetica neue"/>
            <w:u w:val="single"/>
          </w:rPr>
          <w:t>Estes, 2019</w:t>
        </w:r>
      </w:hyperlink>
      <w:r>
        <w:rPr>
          <w:rFonts w:eastAsia="Georgia" w:hAnsi="Georgia" w:cs="Georgia"/>
          <w:color w:val="000000"/>
        </w:rPr>
        <w:t>)</w:t>
      </w:r>
    </w:p>
    <w:p w14:paraId="24C9EDFC" w14:textId="77777777" w:rsidR="00BA780F" w:rsidRDefault="00000000">
      <w:pPr>
        <w:numPr>
          <w:ilvl w:val="0"/>
          <w:numId w:val="7"/>
        </w:numPr>
        <w:spacing w:before="105" w:after="105" w:line="360" w:lineRule="auto"/>
      </w:pPr>
      <w:r>
        <w:rPr>
          <w:rFonts w:eastAsia="Georgia" w:hAnsi="Georgia" w:cs="Georgia"/>
          <w:color w:val="000000"/>
        </w:rPr>
        <w:t>6.4 FPIC in practice (</w:t>
      </w:r>
      <w:hyperlink r:id="rId54">
        <w:r>
          <w:rPr>
            <w:rFonts w:ascii="helvetica neue" w:eastAsia="helvetica neue" w:hAnsi="helvetica neue" w:cs="helvetica neue"/>
            <w:u w:val="single"/>
          </w:rPr>
          <w:t>Schilling-Vacaflor, 2017</w:t>
        </w:r>
      </w:hyperlink>
      <w:r>
        <w:rPr>
          <w:rFonts w:eastAsia="Georgia" w:hAnsi="Georgia" w:cs="Georgia"/>
          <w:color w:val="000000"/>
        </w:rPr>
        <w:t xml:space="preserve">; </w:t>
      </w:r>
      <w:hyperlink r:id="rId55">
        <w:r>
          <w:rPr>
            <w:rFonts w:ascii="helvetica neue" w:eastAsia="helvetica neue" w:hAnsi="helvetica neue" w:cs="helvetica neue"/>
            <w:u w:val="single"/>
          </w:rPr>
          <w:t>Temper, 2019</w:t>
        </w:r>
      </w:hyperlink>
      <w:r>
        <w:rPr>
          <w:rFonts w:eastAsia="Georgia" w:hAnsi="Georgia" w:cs="Georgia"/>
          <w:color w:val="000000"/>
        </w:rPr>
        <w:t>)</w:t>
      </w:r>
    </w:p>
    <w:p w14:paraId="71BB9B1C" w14:textId="77777777" w:rsidR="00BA780F" w:rsidRDefault="00000000">
      <w:pPr>
        <w:numPr>
          <w:ilvl w:val="0"/>
          <w:numId w:val="7"/>
        </w:numPr>
        <w:spacing w:before="105" w:after="105" w:line="360" w:lineRule="auto"/>
      </w:pPr>
      <w:r>
        <w:rPr>
          <w:rFonts w:eastAsia="Georgia" w:hAnsi="Georgia" w:cs="Georgia"/>
          <w:color w:val="000000"/>
        </w:rPr>
        <w:t>6.5 Indigenous legal traditions and energy governance (</w:t>
      </w:r>
      <w:hyperlink r:id="rId56">
        <w:r>
          <w:rPr>
            <w:rFonts w:ascii="helvetica neue" w:eastAsia="helvetica neue" w:hAnsi="helvetica neue" w:cs="helvetica neue"/>
            <w:u w:val="single"/>
          </w:rPr>
          <w:t>Awāsis, 2020</w:t>
        </w:r>
      </w:hyperlink>
      <w:r>
        <w:rPr>
          <w:rFonts w:eastAsia="Georgia" w:hAnsi="Georgia" w:cs="Georgia"/>
          <w:color w:val="000000"/>
        </w:rPr>
        <w:t>)</w:t>
      </w:r>
    </w:p>
    <w:p w14:paraId="453A74B6" w14:textId="77777777" w:rsidR="00BA780F" w:rsidRDefault="00000000">
      <w:pPr>
        <w:numPr>
          <w:ilvl w:val="0"/>
          <w:numId w:val="7"/>
        </w:numPr>
        <w:spacing w:before="105" w:after="105" w:line="360" w:lineRule="auto"/>
      </w:pPr>
      <w:r>
        <w:rPr>
          <w:rFonts w:eastAsia="Georgia" w:hAnsi="Georgia" w:cs="Georgia"/>
          <w:color w:val="000000"/>
        </w:rPr>
        <w:t>6.6 CCS and settler colonialism (</w:t>
      </w:r>
      <w:hyperlink r:id="rId57">
        <w:r>
          <w:rPr>
            <w:rFonts w:ascii="helvetica neue" w:eastAsia="helvetica neue" w:hAnsi="helvetica neue" w:cs="helvetica neue"/>
            <w:u w:val="single"/>
          </w:rPr>
          <w:t>Alexander &amp; Stanley, 2022</w:t>
        </w:r>
      </w:hyperlink>
      <w:r>
        <w:rPr>
          <w:rFonts w:eastAsia="Georgia" w:hAnsi="Georgia" w:cs="Georgia"/>
          <w:color w:val="000000"/>
        </w:rPr>
        <w:t>)</w:t>
      </w:r>
    </w:p>
    <w:p w14:paraId="6E9C478D" w14:textId="77777777" w:rsidR="00BA780F" w:rsidRDefault="00000000">
      <w:pPr>
        <w:spacing w:before="315" w:after="105" w:line="360" w:lineRule="auto"/>
        <w:ind w:left="-30"/>
      </w:pPr>
      <w:bookmarkStart w:id="10" w:name="bm_7_governance_framing_and_exper_ab0940"/>
      <w:r>
        <w:rPr>
          <w:rFonts w:eastAsia="Georgia" w:hAnsi="Georgia" w:cs="Georgia"/>
          <w:b/>
          <w:color w:val="000000"/>
          <w:sz w:val="24"/>
        </w:rPr>
        <w:t>7. Governance framing and experimental precedents</w:t>
      </w:r>
      <w:bookmarkEnd w:id="10"/>
    </w:p>
    <w:p w14:paraId="7C71D977" w14:textId="77777777" w:rsidR="00BA780F" w:rsidRDefault="00000000">
      <w:pPr>
        <w:numPr>
          <w:ilvl w:val="0"/>
          <w:numId w:val="8"/>
        </w:numPr>
        <w:spacing w:before="105" w:after="105" w:line="360" w:lineRule="auto"/>
      </w:pPr>
      <w:r>
        <w:rPr>
          <w:rFonts w:eastAsia="Georgia" w:hAnsi="Georgia" w:cs="Georgia"/>
          <w:color w:val="000000"/>
        </w:rPr>
        <w:t>7.1 CCS frame and conjoint experiments (</w:t>
      </w:r>
      <w:hyperlink r:id="rId58">
        <w:r>
          <w:rPr>
            <w:rFonts w:ascii="helvetica neue" w:eastAsia="helvetica neue" w:hAnsi="helvetica neue" w:cs="helvetica neue"/>
            <w:u w:val="single"/>
          </w:rPr>
          <w:t>Whitmarsh, Xenias, &amp; Jones, 2019</w:t>
        </w:r>
      </w:hyperlink>
      <w:r>
        <w:rPr>
          <w:rFonts w:eastAsia="Georgia" w:hAnsi="Georgia" w:cs="Georgia"/>
          <w:color w:val="000000"/>
        </w:rPr>
        <w:t xml:space="preserve">; </w:t>
      </w:r>
      <w:hyperlink r:id="rId59">
        <w:r>
          <w:rPr>
            <w:rFonts w:ascii="helvetica neue" w:eastAsia="helvetica neue" w:hAnsi="helvetica neue" w:cs="helvetica neue"/>
            <w:u w:val="single"/>
          </w:rPr>
          <w:t>Anders, Liebe, &amp; Meyerhoff, 2024</w:t>
        </w:r>
      </w:hyperlink>
      <w:r>
        <w:rPr>
          <w:rFonts w:eastAsia="Georgia" w:hAnsi="Georgia" w:cs="Georgia"/>
          <w:color w:val="000000"/>
        </w:rPr>
        <w:t xml:space="preserve">; </w:t>
      </w:r>
      <w:hyperlink r:id="rId60">
        <w:r>
          <w:rPr>
            <w:rFonts w:ascii="helvetica neue" w:eastAsia="helvetica neue" w:hAnsi="helvetica neue" w:cs="helvetica neue"/>
            <w:u w:val="single"/>
          </w:rPr>
          <w:t>Pianta, Rinscheid, &amp; Weber, 2021</w:t>
        </w:r>
      </w:hyperlink>
      <w:r>
        <w:rPr>
          <w:rFonts w:eastAsia="Georgia" w:hAnsi="Georgia" w:cs="Georgia"/>
          <w:color w:val="000000"/>
        </w:rPr>
        <w:t>)</w:t>
      </w:r>
    </w:p>
    <w:p w14:paraId="36B0A424" w14:textId="77777777" w:rsidR="00BA780F" w:rsidRDefault="00000000">
      <w:pPr>
        <w:numPr>
          <w:ilvl w:val="0"/>
          <w:numId w:val="8"/>
        </w:numPr>
        <w:spacing w:before="105" w:after="105" w:line="360" w:lineRule="auto"/>
      </w:pPr>
      <w:r>
        <w:rPr>
          <w:rFonts w:eastAsia="Georgia" w:hAnsi="Georgia" w:cs="Georgia"/>
          <w:color w:val="000000"/>
        </w:rPr>
        <w:t>7.2 Procedural fairness vignettes in wind and renewables (</w:t>
      </w:r>
      <w:hyperlink r:id="rId61">
        <w:r>
          <w:rPr>
            <w:rFonts w:ascii="helvetica neue" w:eastAsia="helvetica neue" w:hAnsi="helvetica neue" w:cs="helvetica neue"/>
            <w:u w:val="single"/>
          </w:rPr>
          <w:t>Liebe, Bartczak, &amp; Meyerhoff, 2017</w:t>
        </w:r>
      </w:hyperlink>
      <w:r>
        <w:rPr>
          <w:rFonts w:eastAsia="Georgia" w:hAnsi="Georgia" w:cs="Georgia"/>
          <w:color w:val="000000"/>
        </w:rPr>
        <w:t xml:space="preserve">; </w:t>
      </w:r>
      <w:hyperlink r:id="rId62">
        <w:r>
          <w:rPr>
            <w:rFonts w:ascii="helvetica neue" w:eastAsia="helvetica neue" w:hAnsi="helvetica neue" w:cs="helvetica neue"/>
            <w:u w:val="single"/>
          </w:rPr>
          <w:t>Liebe &amp; Dobers, 2020</w:t>
        </w:r>
      </w:hyperlink>
      <w:r>
        <w:rPr>
          <w:rFonts w:eastAsia="Georgia" w:hAnsi="Georgia" w:cs="Georgia"/>
          <w:color w:val="000000"/>
        </w:rPr>
        <w:t xml:space="preserve">; </w:t>
      </w:r>
      <w:hyperlink r:id="rId63">
        <w:r>
          <w:rPr>
            <w:rFonts w:ascii="helvetica neue" w:eastAsia="helvetica neue" w:hAnsi="helvetica neue" w:cs="helvetica neue"/>
            <w:u w:val="single"/>
          </w:rPr>
          <w:t>Walker, Wiersma, &amp; Bailey, 2014</w:t>
        </w:r>
      </w:hyperlink>
      <w:r>
        <w:rPr>
          <w:rFonts w:eastAsia="Georgia" w:hAnsi="Georgia" w:cs="Georgia"/>
          <w:color w:val="000000"/>
        </w:rPr>
        <w:t xml:space="preserve">; </w:t>
      </w:r>
      <w:hyperlink r:id="rId64">
        <w:r>
          <w:rPr>
            <w:rFonts w:ascii="helvetica neue" w:eastAsia="helvetica neue" w:hAnsi="helvetica neue" w:cs="helvetica neue"/>
            <w:u w:val="single"/>
          </w:rPr>
          <w:t>Chewinski, Anders, &amp; Parkins, 2023</w:t>
        </w:r>
      </w:hyperlink>
      <w:r>
        <w:rPr>
          <w:rFonts w:eastAsia="Georgia" w:hAnsi="Georgia" w:cs="Georgia"/>
          <w:color w:val="000000"/>
        </w:rPr>
        <w:t>)</w:t>
      </w:r>
    </w:p>
    <w:p w14:paraId="3195C0F0" w14:textId="77777777" w:rsidR="00BA780F" w:rsidRDefault="00000000">
      <w:pPr>
        <w:numPr>
          <w:ilvl w:val="0"/>
          <w:numId w:val="8"/>
        </w:numPr>
        <w:spacing w:before="105" w:after="105" w:line="360" w:lineRule="auto"/>
      </w:pPr>
      <w:r>
        <w:rPr>
          <w:rFonts w:eastAsia="Georgia" w:hAnsi="Georgia" w:cs="Georgia"/>
          <w:color w:val="000000"/>
        </w:rPr>
        <w:t>7.3 Path/SEM models of trust, fairness, and legitimacy (</w:t>
      </w:r>
      <w:hyperlink r:id="rId65">
        <w:r>
          <w:rPr>
            <w:rFonts w:ascii="helvetica neue" w:eastAsia="helvetica neue" w:hAnsi="helvetica neue" w:cs="helvetica neue"/>
            <w:u w:val="single"/>
          </w:rPr>
          <w:t>Firestone et al., 2020</w:t>
        </w:r>
      </w:hyperlink>
      <w:r>
        <w:rPr>
          <w:rFonts w:eastAsia="Georgia" w:hAnsi="Georgia" w:cs="Georgia"/>
          <w:color w:val="000000"/>
        </w:rPr>
        <w:t xml:space="preserve">; </w:t>
      </w:r>
      <w:hyperlink r:id="rId66">
        <w:r>
          <w:rPr>
            <w:rFonts w:ascii="helvetica neue" w:eastAsia="helvetica neue" w:hAnsi="helvetica neue" w:cs="helvetica neue"/>
            <w:u w:val="single"/>
          </w:rPr>
          <w:t>Moffat &amp; Zhang, 2014</w:t>
        </w:r>
      </w:hyperlink>
      <w:r>
        <w:rPr>
          <w:rFonts w:eastAsia="Georgia" w:hAnsi="Georgia" w:cs="Georgia"/>
          <w:color w:val="000000"/>
        </w:rPr>
        <w:t xml:space="preserve">; </w:t>
      </w:r>
      <w:hyperlink r:id="rId67">
        <w:r>
          <w:rPr>
            <w:rFonts w:ascii="helvetica neue" w:eastAsia="helvetica neue" w:hAnsi="helvetica neue" w:cs="helvetica neue"/>
            <w:u w:val="single"/>
          </w:rPr>
          <w:t>Bergquist, 2024</w:t>
        </w:r>
      </w:hyperlink>
      <w:r>
        <w:rPr>
          <w:rFonts w:eastAsia="Georgia" w:hAnsi="Georgia" w:cs="Georgia"/>
          <w:color w:val="000000"/>
        </w:rPr>
        <w:t>)</w:t>
      </w:r>
    </w:p>
    <w:p w14:paraId="59177214" w14:textId="77777777" w:rsidR="00BA780F" w:rsidRDefault="00000000">
      <w:pPr>
        <w:numPr>
          <w:ilvl w:val="0"/>
          <w:numId w:val="8"/>
        </w:numPr>
        <w:spacing w:before="105" w:after="105" w:line="360" w:lineRule="auto"/>
      </w:pPr>
      <w:r>
        <w:rPr>
          <w:rFonts w:eastAsia="Georgia" w:hAnsi="Georgia" w:cs="Georgia"/>
          <w:color w:val="000000"/>
        </w:rPr>
        <w:lastRenderedPageBreak/>
        <w:t>7.4 Values and procedural governance frames (</w:t>
      </w:r>
      <w:hyperlink r:id="rId68">
        <w:r>
          <w:rPr>
            <w:rFonts w:ascii="helvetica neue" w:eastAsia="helvetica neue" w:hAnsi="helvetica neue" w:cs="helvetica neue"/>
            <w:u w:val="single"/>
          </w:rPr>
          <w:t>Demski, Butler, Parkhill, Spence, &amp; Pidgeon, 2015</w:t>
        </w:r>
      </w:hyperlink>
      <w:r>
        <w:rPr>
          <w:rFonts w:eastAsia="Georgia" w:hAnsi="Georgia" w:cs="Georgia"/>
          <w:color w:val="000000"/>
        </w:rPr>
        <w:t>)</w:t>
      </w:r>
    </w:p>
    <w:p w14:paraId="738060A0" w14:textId="77777777" w:rsidR="00BA780F" w:rsidRDefault="00000000">
      <w:pPr>
        <w:spacing w:before="315" w:after="105" w:line="360" w:lineRule="auto"/>
        <w:ind w:left="-30"/>
      </w:pPr>
      <w:bookmarkStart w:id="11" w:name="bm_8_conceptual_model_gap_and_con_d53b33"/>
      <w:r>
        <w:rPr>
          <w:rFonts w:eastAsia="Georgia" w:hAnsi="Georgia" w:cs="Georgia"/>
          <w:b/>
          <w:color w:val="000000"/>
          <w:sz w:val="24"/>
        </w:rPr>
        <w:t>8. Conceptual model, gap, and contribution</w:t>
      </w:r>
      <w:bookmarkEnd w:id="11"/>
    </w:p>
    <w:p w14:paraId="1F07C187" w14:textId="77777777" w:rsidR="00BA780F" w:rsidRDefault="00000000">
      <w:pPr>
        <w:numPr>
          <w:ilvl w:val="0"/>
          <w:numId w:val="9"/>
        </w:numPr>
        <w:spacing w:before="105" w:after="105" w:line="360" w:lineRule="auto"/>
      </w:pPr>
      <w:r>
        <w:rPr>
          <w:rFonts w:eastAsia="Georgia" w:hAnsi="Georgia" w:cs="Georgia"/>
          <w:color w:val="000000"/>
        </w:rPr>
        <w:t>8.1 Synthesizing model: governance frame → procedural/recognition justice → trust → legitimacy → support</w:t>
      </w:r>
    </w:p>
    <w:p w14:paraId="07982500" w14:textId="77777777" w:rsidR="00BA780F" w:rsidRDefault="00000000">
      <w:pPr>
        <w:numPr>
          <w:ilvl w:val="0"/>
          <w:numId w:val="9"/>
        </w:numPr>
        <w:spacing w:before="105" w:after="105" w:line="360" w:lineRule="auto"/>
      </w:pPr>
      <w:r>
        <w:rPr>
          <w:rFonts w:eastAsia="Georgia" w:hAnsi="Georgia" w:cs="Georgia"/>
          <w:color w:val="000000"/>
        </w:rPr>
        <w:t xml:space="preserve">8.2 What the field has not done: an empirical gap statement for </w:t>
      </w:r>
      <w:r>
        <w:rPr>
          <w:rFonts w:eastAsia="Georgia" w:hAnsi="Georgia" w:cs="Georgia"/>
          <w:i/>
          <w:color w:val="000000"/>
        </w:rPr>
        <w:t>ERSS</w:t>
      </w:r>
    </w:p>
    <w:p w14:paraId="72D01304" w14:textId="77777777" w:rsidR="00BA780F" w:rsidRDefault="00000000">
      <w:pPr>
        <w:numPr>
          <w:ilvl w:val="0"/>
          <w:numId w:val="9"/>
        </w:numPr>
        <w:spacing w:before="105" w:after="105" w:line="360" w:lineRule="auto"/>
      </w:pPr>
      <w:r>
        <w:rPr>
          <w:rFonts w:eastAsia="Georgia" w:hAnsi="Georgia" w:cs="Georgia"/>
          <w:color w:val="000000"/>
        </w:rPr>
        <w:t>8.3 Methodological and ethical cautions, especially around Indigenous rights</w:t>
      </w:r>
    </w:p>
    <w:p w14:paraId="33766C20" w14:textId="77777777" w:rsidR="00BA780F" w:rsidRDefault="00000000">
      <w:pPr>
        <w:spacing w:before="210" w:after="0" w:line="360" w:lineRule="auto"/>
      </w:pPr>
      <w:r>
        <w:rPr>
          <w:noProof/>
        </w:rPr>
      </w:r>
      <w:r>
        <w:rPr>
          <w:noProof/>
        </w:rPr>
        <w:pict w14:anchorId="506D65BF">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1EE236" w14:textId="77777777" w:rsidR="00BA780F" w:rsidRDefault="00000000">
      <w:pPr>
        <w:spacing w:before="315" w:after="105" w:line="360" w:lineRule="auto"/>
        <w:ind w:left="-30"/>
      </w:pPr>
      <w:bookmarkStart w:id="12" w:name="b_core_sources_with_apa_7_dois_su_dd6726"/>
      <w:r>
        <w:rPr>
          <w:rFonts w:eastAsia="Georgia" w:hAnsi="Georgia" w:cs="Georgia"/>
          <w:b/>
          <w:color w:val="000000"/>
          <w:sz w:val="24"/>
        </w:rPr>
        <w:t>B. Core sources (with APA 7, DOIs, summaries, manuscript fit, thematic tag)</w:t>
      </w:r>
      <w:bookmarkEnd w:id="12"/>
    </w:p>
    <w:p w14:paraId="78D9229B" w14:textId="77777777" w:rsidR="00BA780F" w:rsidRDefault="00000000">
      <w:pPr>
        <w:spacing w:after="210" w:line="360" w:lineRule="auto"/>
      </w:pPr>
      <w:r>
        <w:rPr>
          <w:rFonts w:eastAsia="Georgia" w:hAnsi="Georgia" w:cs="Georgia"/>
          <w:color w:val="000000"/>
        </w:rPr>
        <w:t xml:space="preserve">Below are 38 sources designated as the </w:t>
      </w:r>
      <w:r>
        <w:rPr>
          <w:rFonts w:eastAsia="Georgia" w:hAnsi="Georgia" w:cs="Georgia"/>
          <w:b/>
          <w:color w:val="000000"/>
        </w:rPr>
        <w:t>core literature review set</w:t>
      </w:r>
      <w:r>
        <w:rPr>
          <w:rFonts w:eastAsia="Georgia" w:hAnsi="Georgia" w:cs="Georgia"/>
          <w:color w:val="000000"/>
        </w:rPr>
        <w:t>. They are organized by section. Section 6 (Indigenous rights) is given particular care: where books lack DOIs, ISBNs are provided.</w:t>
      </w:r>
    </w:p>
    <w:p w14:paraId="3D119137" w14:textId="77777777" w:rsidR="00BA780F" w:rsidRDefault="00000000">
      <w:pPr>
        <w:spacing w:before="315" w:after="105" w:line="360" w:lineRule="auto"/>
        <w:ind w:left="-30"/>
      </w:pPr>
      <w:bookmarkStart w:id="13" w:name="stream_1_ccs_ccus_public_acceptance"/>
      <w:r>
        <w:rPr>
          <w:rFonts w:eastAsia="Georgia" w:hAnsi="Georgia" w:cs="Georgia"/>
          <w:b/>
          <w:color w:val="000000"/>
          <w:sz w:val="24"/>
        </w:rPr>
        <w:t>Stream 1 — CCS/CCUS Public Acceptance</w:t>
      </w:r>
      <w:bookmarkEnd w:id="13"/>
    </w:p>
    <w:p w14:paraId="65FCBD06" w14:textId="77777777" w:rsidR="00BA780F" w:rsidRDefault="00000000">
      <w:pPr>
        <w:spacing w:after="210" w:line="360" w:lineRule="auto"/>
      </w:pPr>
      <w:r>
        <w:rPr>
          <w:rFonts w:eastAsia="Georgia" w:hAnsi="Georgia" w:cs="Georgia"/>
          <w:b/>
          <w:color w:val="000000"/>
        </w:rPr>
        <w:t>B1. L'Orange Seigo, S., Dohle, S., &amp; Siegrist, M. (2014).</w:t>
      </w:r>
      <w:r>
        <w:rPr>
          <w:rFonts w:eastAsia="Georgia" w:hAnsi="Georgia" w:cs="Georgia"/>
          <w:color w:val="000000"/>
        </w:rPr>
        <w:t xml:space="preserve"> Public perception of carbon capture and storage (CCS): A review. </w:t>
      </w:r>
      <w:r>
        <w:rPr>
          <w:rFonts w:eastAsia="Georgia" w:hAnsi="Georgia" w:cs="Georgia"/>
          <w:i/>
          <w:color w:val="000000"/>
        </w:rPr>
        <w:t>Renewable and Sustainable Energy Reviews</w:t>
      </w:r>
      <w:r>
        <w:rPr>
          <w:rFonts w:eastAsia="Georgia" w:hAnsi="Georgia" w:cs="Georgia"/>
          <w:color w:val="000000"/>
        </w:rPr>
        <w:t xml:space="preserve">, </w:t>
      </w:r>
      <w:r>
        <w:rPr>
          <w:rFonts w:eastAsia="Georgia" w:hAnsi="Georgia" w:cs="Georgia"/>
          <w:i/>
          <w:color w:val="000000"/>
        </w:rPr>
        <w:t>38</w:t>
      </w:r>
      <w:r>
        <w:rPr>
          <w:rFonts w:eastAsia="Georgia" w:hAnsi="Georgia" w:cs="Georgia"/>
          <w:color w:val="000000"/>
        </w:rPr>
        <w:t xml:space="preserve">, 848–863. </w:t>
      </w:r>
      <w:hyperlink r:id="rId69">
        <w:r>
          <w:rPr>
            <w:rFonts w:ascii="helvetica neue" w:eastAsia="helvetica neue" w:hAnsi="helvetica neue" w:cs="helvetica neue"/>
            <w:u w:val="single"/>
          </w:rPr>
          <w:t>https://doi.org/10.1016/j.rser.2014.07.017</w:t>
        </w:r>
      </w:hyperlink>
    </w:p>
    <w:p w14:paraId="2BEC8B6A" w14:textId="77777777" w:rsidR="00BA780F" w:rsidRDefault="00000000">
      <w:pPr>
        <w:numPr>
          <w:ilvl w:val="0"/>
          <w:numId w:val="10"/>
        </w:numPr>
        <w:spacing w:before="105" w:after="105" w:line="360" w:lineRule="auto"/>
      </w:pPr>
      <w:r>
        <w:rPr>
          <w:rFonts w:eastAsia="Georgia" w:hAnsi="Georgia" w:cs="Georgia"/>
          <w:color w:val="000000"/>
        </w:rPr>
        <w:t>Systematic review of 43 CCS perception studies; identifies low public awareness, malleable risk/benefit perceptions, and trust in institutions as the strongest acceptance predictor. Establishes the empirical landscape against which the manuscript positions its governance‑legitimacy argument.</w:t>
      </w:r>
    </w:p>
    <w:p w14:paraId="2CAD1B21" w14:textId="77777777" w:rsidR="00BA780F" w:rsidRDefault="00000000">
      <w:pPr>
        <w:numPr>
          <w:ilvl w:val="0"/>
          <w:numId w:val="10"/>
        </w:numPr>
        <w:spacing w:before="105" w:after="105" w:line="360" w:lineRule="auto"/>
      </w:pPr>
      <w:r>
        <w:rPr>
          <w:rFonts w:eastAsia="Georgia" w:hAnsi="Georgia" w:cs="Georgia"/>
          <w:b/>
          <w:color w:val="000000"/>
        </w:rPr>
        <w:t>Tag:</w:t>
      </w:r>
      <w:r>
        <w:rPr>
          <w:rFonts w:eastAsia="Georgia" w:hAnsi="Georgia" w:cs="Georgia"/>
          <w:color w:val="000000"/>
        </w:rPr>
        <w:t xml:space="preserve"> CCS acceptance.</w:t>
      </w:r>
    </w:p>
    <w:p w14:paraId="07F68E9E" w14:textId="77777777" w:rsidR="00BA780F" w:rsidRDefault="00000000">
      <w:pPr>
        <w:spacing w:after="210" w:line="360" w:lineRule="auto"/>
      </w:pPr>
      <w:r>
        <w:rPr>
          <w:rFonts w:eastAsia="Georgia" w:hAnsi="Georgia" w:cs="Georgia"/>
          <w:b/>
          <w:color w:val="000000"/>
        </w:rPr>
        <w:t>B2. Terwel, B. W., Harinck, F., Ellemers, N., &amp; Daamen, D. D. L. (2009).</w:t>
      </w:r>
      <w:r>
        <w:rPr>
          <w:rFonts w:eastAsia="Georgia" w:hAnsi="Georgia" w:cs="Georgia"/>
          <w:color w:val="000000"/>
        </w:rPr>
        <w:t xml:space="preserve"> Competence-based and integrity-based trust as predictors of acceptance of carbon dioxide capture and storage (CCS). </w:t>
      </w:r>
      <w:r>
        <w:rPr>
          <w:rFonts w:eastAsia="Georgia" w:hAnsi="Georgia" w:cs="Georgia"/>
          <w:i/>
          <w:color w:val="000000"/>
        </w:rPr>
        <w:t>Risk Analysis</w:t>
      </w:r>
      <w:r>
        <w:rPr>
          <w:rFonts w:eastAsia="Georgia" w:hAnsi="Georgia" w:cs="Georgia"/>
          <w:color w:val="000000"/>
        </w:rPr>
        <w:t xml:space="preserve">, </w:t>
      </w:r>
      <w:r>
        <w:rPr>
          <w:rFonts w:eastAsia="Georgia" w:hAnsi="Georgia" w:cs="Georgia"/>
          <w:i/>
          <w:color w:val="000000"/>
        </w:rPr>
        <w:t>29</w:t>
      </w:r>
      <w:r>
        <w:rPr>
          <w:rFonts w:eastAsia="Georgia" w:hAnsi="Georgia" w:cs="Georgia"/>
          <w:color w:val="000000"/>
        </w:rPr>
        <w:t xml:space="preserve">(8), 1129–1140. </w:t>
      </w:r>
      <w:hyperlink r:id="rId70">
        <w:r>
          <w:rPr>
            <w:rFonts w:ascii="helvetica neue" w:eastAsia="helvetica neue" w:hAnsi="helvetica neue" w:cs="helvetica neue"/>
            <w:u w:val="single"/>
          </w:rPr>
          <w:t>https://doi.org/10.1111/j.1539-6924.2009.01256.x</w:t>
        </w:r>
      </w:hyperlink>
    </w:p>
    <w:p w14:paraId="18C9FDC5" w14:textId="77777777" w:rsidR="00BA780F" w:rsidRDefault="00000000">
      <w:pPr>
        <w:numPr>
          <w:ilvl w:val="0"/>
          <w:numId w:val="11"/>
        </w:numPr>
        <w:spacing w:before="105" w:after="105" w:line="360" w:lineRule="auto"/>
      </w:pPr>
      <w:r>
        <w:rPr>
          <w:rFonts w:eastAsia="Georgia" w:hAnsi="Georgia" w:cs="Georgia"/>
          <w:color w:val="000000"/>
        </w:rPr>
        <w:t>Experimental study distinguishing competence- and integrity-based trust; integrity is the stronger driver of CCS acceptance. Anchors the claim that perceived honesty/fairness of governance — not technical capability — sets the ceiling on social license.</w:t>
      </w:r>
    </w:p>
    <w:p w14:paraId="18193527" w14:textId="77777777" w:rsidR="00BA780F" w:rsidRDefault="00000000">
      <w:pPr>
        <w:numPr>
          <w:ilvl w:val="0"/>
          <w:numId w:val="11"/>
        </w:numPr>
        <w:spacing w:before="105" w:after="105" w:line="360" w:lineRule="auto"/>
      </w:pPr>
      <w:r>
        <w:rPr>
          <w:rFonts w:eastAsia="Georgia" w:hAnsi="Georgia" w:cs="Georgia"/>
          <w:b/>
          <w:color w:val="000000"/>
        </w:rPr>
        <w:t>Tag:</w:t>
      </w:r>
      <w:r>
        <w:rPr>
          <w:rFonts w:eastAsia="Georgia" w:hAnsi="Georgia" w:cs="Georgia"/>
          <w:color w:val="000000"/>
        </w:rPr>
        <w:t xml:space="preserve"> CCS acceptance.</w:t>
      </w:r>
    </w:p>
    <w:p w14:paraId="1A18D0B1" w14:textId="77777777" w:rsidR="00BA780F" w:rsidRDefault="00000000">
      <w:pPr>
        <w:spacing w:after="210" w:line="360" w:lineRule="auto"/>
      </w:pPr>
      <w:r>
        <w:rPr>
          <w:rFonts w:eastAsia="Georgia" w:hAnsi="Georgia" w:cs="Georgia"/>
          <w:b/>
          <w:color w:val="000000"/>
        </w:rPr>
        <w:t>B3. Krause, R. M., Carley, S. R., Warren, D. C., Rupp, J. A., &amp; Graham, J. D. (2014).</w:t>
      </w:r>
      <w:r>
        <w:rPr>
          <w:rFonts w:eastAsia="Georgia" w:hAnsi="Georgia" w:cs="Georgia"/>
          <w:color w:val="000000"/>
        </w:rPr>
        <w:t xml:space="preserve"> "Not in (or under) my backyard": Geographic proximity and public acceptance of carbon capture and storage facilities. </w:t>
      </w:r>
      <w:r>
        <w:rPr>
          <w:rFonts w:eastAsia="Georgia" w:hAnsi="Georgia" w:cs="Georgia"/>
          <w:i/>
          <w:color w:val="000000"/>
        </w:rPr>
        <w:t>Risk Analysis</w:t>
      </w:r>
      <w:r>
        <w:rPr>
          <w:rFonts w:eastAsia="Georgia" w:hAnsi="Georgia" w:cs="Georgia"/>
          <w:color w:val="000000"/>
        </w:rPr>
        <w:t xml:space="preserve">, </w:t>
      </w:r>
      <w:r>
        <w:rPr>
          <w:rFonts w:eastAsia="Georgia" w:hAnsi="Georgia" w:cs="Georgia"/>
          <w:i/>
          <w:color w:val="000000"/>
        </w:rPr>
        <w:t>34</w:t>
      </w:r>
      <w:r>
        <w:rPr>
          <w:rFonts w:eastAsia="Georgia" w:hAnsi="Georgia" w:cs="Georgia"/>
          <w:color w:val="000000"/>
        </w:rPr>
        <w:t xml:space="preserve">(3), 529–540. </w:t>
      </w:r>
      <w:hyperlink r:id="rId71">
        <w:r>
          <w:rPr>
            <w:rFonts w:ascii="helvetica neue" w:eastAsia="helvetica neue" w:hAnsi="helvetica neue" w:cs="helvetica neue"/>
            <w:u w:val="single"/>
          </w:rPr>
          <w:t>https://doi.org/10.1111/risa.12119</w:t>
        </w:r>
      </w:hyperlink>
    </w:p>
    <w:p w14:paraId="450AE0A1" w14:textId="77777777" w:rsidR="00BA780F" w:rsidRDefault="00000000">
      <w:pPr>
        <w:numPr>
          <w:ilvl w:val="0"/>
          <w:numId w:val="12"/>
        </w:numPr>
        <w:spacing w:before="105" w:after="105" w:line="360" w:lineRule="auto"/>
      </w:pPr>
      <w:r>
        <w:rPr>
          <w:rFonts w:eastAsia="Georgia" w:hAnsi="Georgia" w:cs="Georgia"/>
          <w:color w:val="000000"/>
        </w:rPr>
        <w:t>Survey of 1,001 Indiana residents in coal-intensive context; ~80% abstract support drops sharply when CCS is sited near respondents' homes. Direct US analog for Louisiana siting and a model for measuring proximity-conditioned support.</w:t>
      </w:r>
    </w:p>
    <w:p w14:paraId="4D586185" w14:textId="77777777" w:rsidR="00BA780F" w:rsidRDefault="00000000">
      <w:pPr>
        <w:numPr>
          <w:ilvl w:val="0"/>
          <w:numId w:val="12"/>
        </w:numPr>
        <w:spacing w:before="105" w:after="105" w:line="360" w:lineRule="auto"/>
      </w:pPr>
      <w:r>
        <w:rPr>
          <w:rFonts w:eastAsia="Georgia" w:hAnsi="Georgia" w:cs="Georgia"/>
          <w:b/>
          <w:color w:val="000000"/>
        </w:rPr>
        <w:t>Tag:</w:t>
      </w:r>
      <w:r>
        <w:rPr>
          <w:rFonts w:eastAsia="Georgia" w:hAnsi="Georgia" w:cs="Georgia"/>
          <w:color w:val="000000"/>
        </w:rPr>
        <w:t xml:space="preserve"> CCS acceptance; infrastructure siting.</w:t>
      </w:r>
    </w:p>
    <w:p w14:paraId="52A20DC5" w14:textId="77777777" w:rsidR="00BA780F" w:rsidRDefault="00000000">
      <w:pPr>
        <w:spacing w:after="210" w:line="360" w:lineRule="auto"/>
      </w:pPr>
      <w:r>
        <w:rPr>
          <w:rFonts w:eastAsia="Georgia" w:hAnsi="Georgia" w:cs="Georgia"/>
          <w:b/>
          <w:color w:val="000000"/>
        </w:rPr>
        <w:t>B4. Gough, C., Cunningham, R., &amp; Mander, S. (2018).</w:t>
      </w:r>
      <w:r>
        <w:rPr>
          <w:rFonts w:eastAsia="Georgia" w:hAnsi="Georgia" w:cs="Georgia"/>
          <w:color w:val="000000"/>
        </w:rPr>
        <w:t xml:space="preserve"> Understanding key elements in establishing a social license for CCS: An empirical approach. </w:t>
      </w:r>
      <w:r>
        <w:rPr>
          <w:rFonts w:eastAsia="Georgia" w:hAnsi="Georgia" w:cs="Georgia"/>
          <w:i/>
          <w:color w:val="000000"/>
        </w:rPr>
        <w:t>International Journal of Greenhouse Gas Control</w:t>
      </w:r>
      <w:r>
        <w:rPr>
          <w:rFonts w:eastAsia="Georgia" w:hAnsi="Georgia" w:cs="Georgia"/>
          <w:color w:val="000000"/>
        </w:rPr>
        <w:t xml:space="preserve">, </w:t>
      </w:r>
      <w:r>
        <w:rPr>
          <w:rFonts w:eastAsia="Georgia" w:hAnsi="Georgia" w:cs="Georgia"/>
          <w:i/>
          <w:color w:val="000000"/>
        </w:rPr>
        <w:t>68</w:t>
      </w:r>
      <w:r>
        <w:rPr>
          <w:rFonts w:eastAsia="Georgia" w:hAnsi="Georgia" w:cs="Georgia"/>
          <w:color w:val="000000"/>
        </w:rPr>
        <w:t xml:space="preserve">, 16–25. </w:t>
      </w:r>
      <w:hyperlink r:id="rId72">
        <w:r>
          <w:rPr>
            <w:rFonts w:ascii="helvetica neue" w:eastAsia="helvetica neue" w:hAnsi="helvetica neue" w:cs="helvetica neue"/>
            <w:u w:val="single"/>
          </w:rPr>
          <w:t>https://doi.org/10.1016/j.ijggc.2017.11.003</w:t>
        </w:r>
      </w:hyperlink>
    </w:p>
    <w:p w14:paraId="2DF73255" w14:textId="77777777" w:rsidR="00BA780F" w:rsidRDefault="00000000">
      <w:pPr>
        <w:numPr>
          <w:ilvl w:val="0"/>
          <w:numId w:val="13"/>
        </w:numPr>
        <w:spacing w:before="105" w:after="105" w:line="360" w:lineRule="auto"/>
      </w:pPr>
      <w:r>
        <w:rPr>
          <w:rFonts w:eastAsia="Georgia" w:hAnsi="Georgia" w:cs="Georgia"/>
          <w:color w:val="000000"/>
        </w:rPr>
        <w:t>UK deliberative workshops identify early/genuine engagement, regulatory transparency, co-benefits, and ongoing monitoring as preconditions for SLO; participants reject "decide-announce-defend." Most direct empirical foundation for the manuscript's procedural-justice-as-social-license argument.</w:t>
      </w:r>
    </w:p>
    <w:p w14:paraId="7F52B2B4" w14:textId="77777777" w:rsidR="00BA780F" w:rsidRDefault="00000000">
      <w:pPr>
        <w:numPr>
          <w:ilvl w:val="0"/>
          <w:numId w:val="13"/>
        </w:numPr>
        <w:spacing w:before="105" w:after="105" w:line="360" w:lineRule="auto"/>
      </w:pPr>
      <w:r>
        <w:rPr>
          <w:rFonts w:eastAsia="Georgia" w:hAnsi="Georgia" w:cs="Georgia"/>
          <w:b/>
          <w:color w:val="000000"/>
        </w:rPr>
        <w:t>Tag:</w:t>
      </w:r>
      <w:r>
        <w:rPr>
          <w:rFonts w:eastAsia="Georgia" w:hAnsi="Georgia" w:cs="Georgia"/>
          <w:color w:val="000000"/>
        </w:rPr>
        <w:t xml:space="preserve"> CCS acceptance; social license.</w:t>
      </w:r>
    </w:p>
    <w:p w14:paraId="229E9CB4" w14:textId="77777777" w:rsidR="00BA780F" w:rsidRDefault="00000000">
      <w:pPr>
        <w:spacing w:after="210" w:line="360" w:lineRule="auto"/>
      </w:pPr>
      <w:r>
        <w:rPr>
          <w:rFonts w:eastAsia="Georgia" w:hAnsi="Georgia" w:cs="Georgia"/>
          <w:b/>
          <w:color w:val="000000"/>
        </w:rPr>
        <w:t>B5. Hansson, A., Anshelm, J., Fridahl, M., &amp; Haikola, S. (2022).</w:t>
      </w:r>
      <w:r>
        <w:rPr>
          <w:rFonts w:eastAsia="Georgia" w:hAnsi="Georgia" w:cs="Georgia"/>
          <w:color w:val="000000"/>
        </w:rPr>
        <w:t xml:space="preserve"> The underworld of tomorrow? How subsurface carbon dioxide storage leaked out of the public debate. </w:t>
      </w:r>
      <w:r>
        <w:rPr>
          <w:rFonts w:eastAsia="Georgia" w:hAnsi="Georgia" w:cs="Georgia"/>
          <w:i/>
          <w:color w:val="000000"/>
        </w:rPr>
        <w:t>Energy Research &amp; Social Science</w:t>
      </w:r>
      <w:r>
        <w:rPr>
          <w:rFonts w:eastAsia="Georgia" w:hAnsi="Georgia" w:cs="Georgia"/>
          <w:color w:val="000000"/>
        </w:rPr>
        <w:t xml:space="preserve">, </w:t>
      </w:r>
      <w:r>
        <w:rPr>
          <w:rFonts w:eastAsia="Georgia" w:hAnsi="Georgia" w:cs="Georgia"/>
          <w:i/>
          <w:color w:val="000000"/>
        </w:rPr>
        <w:t>90</w:t>
      </w:r>
      <w:r>
        <w:rPr>
          <w:rFonts w:eastAsia="Georgia" w:hAnsi="Georgia" w:cs="Georgia"/>
          <w:color w:val="000000"/>
        </w:rPr>
        <w:t xml:space="preserve">, 102606. </w:t>
      </w:r>
      <w:hyperlink r:id="rId73">
        <w:r>
          <w:rPr>
            <w:rFonts w:ascii="helvetica neue" w:eastAsia="helvetica neue" w:hAnsi="helvetica neue" w:cs="helvetica neue"/>
            <w:u w:val="single"/>
          </w:rPr>
          <w:t>https://doi.org/10.1016/j.erss.2022.102606</w:t>
        </w:r>
      </w:hyperlink>
    </w:p>
    <w:p w14:paraId="39EE5BDD" w14:textId="77777777" w:rsidR="00BA780F" w:rsidRDefault="00000000">
      <w:pPr>
        <w:numPr>
          <w:ilvl w:val="0"/>
          <w:numId w:val="14"/>
        </w:numPr>
        <w:spacing w:before="105" w:after="105" w:line="360" w:lineRule="auto"/>
      </w:pPr>
      <w:r>
        <w:rPr>
          <w:rFonts w:eastAsia="Georgia" w:hAnsi="Georgia" w:cs="Georgia"/>
          <w:color w:val="000000"/>
        </w:rPr>
        <w:t>Longitudinal Swedish discourse analysis shows CCS has been depoliticized — moved from public contestation into technocratic management. Supports the manuscript's argument that legitimacy deficits compound when democratic deliberation is foreclosed.</w:t>
      </w:r>
    </w:p>
    <w:p w14:paraId="08470927" w14:textId="77777777" w:rsidR="00BA780F" w:rsidRDefault="00000000">
      <w:pPr>
        <w:numPr>
          <w:ilvl w:val="0"/>
          <w:numId w:val="14"/>
        </w:numPr>
        <w:spacing w:before="105" w:after="105" w:line="360" w:lineRule="auto"/>
      </w:pPr>
      <w:r>
        <w:rPr>
          <w:rFonts w:eastAsia="Georgia" w:hAnsi="Georgia" w:cs="Georgia"/>
          <w:b/>
          <w:color w:val="000000"/>
        </w:rPr>
        <w:t>Tag:</w:t>
      </w:r>
      <w:r>
        <w:rPr>
          <w:rFonts w:eastAsia="Georgia" w:hAnsi="Georgia" w:cs="Georgia"/>
          <w:color w:val="000000"/>
        </w:rPr>
        <w:t xml:space="preserve"> CCS acceptance; governance framing.</w:t>
      </w:r>
    </w:p>
    <w:p w14:paraId="2836C4CF" w14:textId="77777777" w:rsidR="00BA780F" w:rsidRDefault="00000000">
      <w:pPr>
        <w:spacing w:after="210" w:line="360" w:lineRule="auto"/>
      </w:pPr>
      <w:r>
        <w:rPr>
          <w:rFonts w:eastAsia="Georgia" w:hAnsi="Georgia" w:cs="Georgia"/>
          <w:b/>
          <w:color w:val="000000"/>
        </w:rPr>
        <w:t>B6. Thomas, G., Pidgeon, N., &amp; Roberts, E. (2018).</w:t>
      </w:r>
      <w:r>
        <w:rPr>
          <w:rFonts w:eastAsia="Georgia" w:hAnsi="Georgia" w:cs="Georgia"/>
          <w:color w:val="000000"/>
        </w:rPr>
        <w:t xml:space="preserve"> Ambivalence, naturalness and normality in public perceptions of carbon capture and storage in biomass, fossil energy, and industrial applications in the United Kingdom. </w:t>
      </w:r>
      <w:r>
        <w:rPr>
          <w:rFonts w:eastAsia="Georgia" w:hAnsi="Georgia" w:cs="Georgia"/>
          <w:i/>
          <w:color w:val="000000"/>
        </w:rPr>
        <w:t>Energy Research &amp; Social Science</w:t>
      </w:r>
      <w:r>
        <w:rPr>
          <w:rFonts w:eastAsia="Georgia" w:hAnsi="Georgia" w:cs="Georgia"/>
          <w:color w:val="000000"/>
        </w:rPr>
        <w:t xml:space="preserve">, </w:t>
      </w:r>
      <w:r>
        <w:rPr>
          <w:rFonts w:eastAsia="Georgia" w:hAnsi="Georgia" w:cs="Georgia"/>
          <w:i/>
          <w:color w:val="000000"/>
        </w:rPr>
        <w:t>46</w:t>
      </w:r>
      <w:r>
        <w:rPr>
          <w:rFonts w:eastAsia="Georgia" w:hAnsi="Georgia" w:cs="Georgia"/>
          <w:color w:val="000000"/>
        </w:rPr>
        <w:t xml:space="preserve">, 1–9. </w:t>
      </w:r>
      <w:hyperlink r:id="rId74">
        <w:r>
          <w:rPr>
            <w:rFonts w:ascii="helvetica neue" w:eastAsia="helvetica neue" w:hAnsi="helvetica neue" w:cs="helvetica neue"/>
            <w:u w:val="single"/>
          </w:rPr>
          <w:t>https://doi.org/10.1016/j.erss.2018.06.007</w:t>
        </w:r>
      </w:hyperlink>
    </w:p>
    <w:p w14:paraId="5828F00C" w14:textId="77777777" w:rsidR="00BA780F" w:rsidRDefault="00000000">
      <w:pPr>
        <w:numPr>
          <w:ilvl w:val="0"/>
          <w:numId w:val="15"/>
        </w:numPr>
        <w:spacing w:before="105" w:after="105" w:line="360" w:lineRule="auto"/>
      </w:pPr>
      <w:r>
        <w:rPr>
          <w:rFonts w:eastAsia="Georgia" w:hAnsi="Georgia" w:cs="Georgia"/>
          <w:color w:val="000000"/>
        </w:rPr>
        <w:t>Qualitative focus groups find publics simultaneously view CCS as necessary mitigation and as a moral hazard prolonging fossil dependence. Provides theoretical grounding for treating ambivalence as a legitimate democratic stance rather than ignorance.</w:t>
      </w:r>
    </w:p>
    <w:p w14:paraId="358DD4B3" w14:textId="77777777" w:rsidR="00BA780F" w:rsidRDefault="00000000">
      <w:pPr>
        <w:numPr>
          <w:ilvl w:val="0"/>
          <w:numId w:val="15"/>
        </w:numPr>
        <w:spacing w:before="105" w:after="105" w:line="360" w:lineRule="auto"/>
      </w:pPr>
      <w:r>
        <w:rPr>
          <w:rFonts w:eastAsia="Georgia" w:hAnsi="Georgia" w:cs="Georgia"/>
          <w:b/>
          <w:color w:val="000000"/>
        </w:rPr>
        <w:t>Tag:</w:t>
      </w:r>
      <w:r>
        <w:rPr>
          <w:rFonts w:eastAsia="Georgia" w:hAnsi="Georgia" w:cs="Georgia"/>
          <w:color w:val="000000"/>
        </w:rPr>
        <w:t xml:space="preserve"> CCS acceptance.</w:t>
      </w:r>
    </w:p>
    <w:p w14:paraId="1D25B6CA" w14:textId="77777777" w:rsidR="00BA780F" w:rsidRDefault="00000000">
      <w:pPr>
        <w:spacing w:after="210" w:line="360" w:lineRule="auto"/>
      </w:pPr>
      <w:r>
        <w:rPr>
          <w:rFonts w:eastAsia="Georgia" w:hAnsi="Georgia" w:cs="Georgia"/>
          <w:b/>
          <w:color w:val="000000"/>
        </w:rPr>
        <w:t>B7. Atkinson, L., Dankel, D. J., &amp; Romanak, K. D. (2024).</w:t>
      </w:r>
      <w:r>
        <w:rPr>
          <w:rFonts w:eastAsia="Georgia" w:hAnsi="Georgia" w:cs="Georgia"/>
          <w:color w:val="000000"/>
        </w:rPr>
        <w:t xml:space="preserve"> The effect of monitoring complexity on stakeholder acceptance of CO₂ geological storage projects in the US Gulf Coast region. </w:t>
      </w:r>
      <w:r>
        <w:rPr>
          <w:rFonts w:eastAsia="Georgia" w:hAnsi="Georgia" w:cs="Georgia"/>
          <w:i/>
          <w:color w:val="000000"/>
        </w:rPr>
        <w:t>Frontiers in Marine Science</w:t>
      </w:r>
      <w:r>
        <w:rPr>
          <w:rFonts w:eastAsia="Georgia" w:hAnsi="Georgia" w:cs="Georgia"/>
          <w:color w:val="000000"/>
        </w:rPr>
        <w:t xml:space="preserve">, </w:t>
      </w:r>
      <w:r>
        <w:rPr>
          <w:rFonts w:eastAsia="Georgia" w:hAnsi="Georgia" w:cs="Georgia"/>
          <w:i/>
          <w:color w:val="000000"/>
        </w:rPr>
        <w:t>10</w:t>
      </w:r>
      <w:r>
        <w:rPr>
          <w:rFonts w:eastAsia="Georgia" w:hAnsi="Georgia" w:cs="Georgia"/>
          <w:color w:val="000000"/>
        </w:rPr>
        <w:t xml:space="preserve">, 1154543. </w:t>
      </w:r>
      <w:hyperlink r:id="rId75">
        <w:r>
          <w:rPr>
            <w:rFonts w:ascii="helvetica neue" w:eastAsia="helvetica neue" w:hAnsi="helvetica neue" w:cs="helvetica neue"/>
            <w:u w:val="single"/>
          </w:rPr>
          <w:t>https://doi.org/10.3389/fmars.2023.1154543</w:t>
        </w:r>
      </w:hyperlink>
    </w:p>
    <w:p w14:paraId="4AE21C1A" w14:textId="77777777" w:rsidR="00BA780F" w:rsidRDefault="00000000">
      <w:pPr>
        <w:numPr>
          <w:ilvl w:val="0"/>
          <w:numId w:val="16"/>
        </w:numPr>
        <w:spacing w:before="105" w:after="105" w:line="360" w:lineRule="auto"/>
      </w:pPr>
      <w:r>
        <w:rPr>
          <w:rFonts w:eastAsia="Georgia" w:hAnsi="Georgia" w:cs="Georgia"/>
          <w:color w:val="000000"/>
        </w:rPr>
        <w:t>Factorial survey in Texas, Louisiana, and Florida; community-member endorsements perform on par with or better than scientist endorsements for some publics. Rare empirical study directly on Gulf Coast CCS acceptance — strong contextual anchor for the Louisiana case.</w:t>
      </w:r>
    </w:p>
    <w:p w14:paraId="5F5CFE8A" w14:textId="77777777" w:rsidR="00BA780F" w:rsidRDefault="00000000">
      <w:pPr>
        <w:numPr>
          <w:ilvl w:val="0"/>
          <w:numId w:val="16"/>
        </w:numPr>
        <w:spacing w:before="105" w:after="105" w:line="360" w:lineRule="auto"/>
      </w:pPr>
      <w:r>
        <w:rPr>
          <w:rFonts w:eastAsia="Georgia" w:hAnsi="Georgia" w:cs="Georgia"/>
          <w:b/>
          <w:color w:val="000000"/>
        </w:rPr>
        <w:t>Tag:</w:t>
      </w:r>
      <w:r>
        <w:rPr>
          <w:rFonts w:eastAsia="Georgia" w:hAnsi="Georgia" w:cs="Georgia"/>
          <w:color w:val="000000"/>
        </w:rPr>
        <w:t xml:space="preserve"> CCS acceptance; governance framing; place-based.</w:t>
      </w:r>
    </w:p>
    <w:p w14:paraId="0D9DDFF5" w14:textId="77777777" w:rsidR="00BA780F" w:rsidRDefault="00000000">
      <w:pPr>
        <w:spacing w:after="210" w:line="360" w:lineRule="auto"/>
      </w:pPr>
      <w:r>
        <w:rPr>
          <w:rFonts w:eastAsia="Georgia" w:hAnsi="Georgia" w:cs="Georgia"/>
          <w:b/>
          <w:color w:val="000000"/>
        </w:rPr>
        <w:t>B8. Cox, E., Pidgeon, N., &amp; Spence, E. (2021).</w:t>
      </w:r>
      <w:r>
        <w:rPr>
          <w:rFonts w:eastAsia="Georgia" w:hAnsi="Georgia" w:cs="Georgia"/>
          <w:color w:val="000000"/>
        </w:rPr>
        <w:t xml:space="preserve"> But they told us it was safe! Carbon dioxide removal, fracking, and ripple effects in risk perceptions. </w:t>
      </w:r>
      <w:r>
        <w:rPr>
          <w:rFonts w:eastAsia="Georgia" w:hAnsi="Georgia" w:cs="Georgia"/>
          <w:i/>
          <w:color w:val="000000"/>
        </w:rPr>
        <w:t>Risk Analysis</w:t>
      </w:r>
      <w:r>
        <w:rPr>
          <w:rFonts w:eastAsia="Georgia" w:hAnsi="Georgia" w:cs="Georgia"/>
          <w:color w:val="000000"/>
        </w:rPr>
        <w:t xml:space="preserve">, </w:t>
      </w:r>
      <w:r>
        <w:rPr>
          <w:rFonts w:eastAsia="Georgia" w:hAnsi="Georgia" w:cs="Georgia"/>
          <w:i/>
          <w:color w:val="000000"/>
        </w:rPr>
        <w:t>42</w:t>
      </w:r>
      <w:r>
        <w:rPr>
          <w:rFonts w:eastAsia="Georgia" w:hAnsi="Georgia" w:cs="Georgia"/>
          <w:color w:val="000000"/>
        </w:rPr>
        <w:t xml:space="preserve">(7), 1472–1487. </w:t>
      </w:r>
      <w:hyperlink r:id="rId76">
        <w:r>
          <w:rPr>
            <w:rFonts w:ascii="helvetica neue" w:eastAsia="helvetica neue" w:hAnsi="helvetica neue" w:cs="helvetica neue"/>
            <w:u w:val="single"/>
          </w:rPr>
          <w:t>https://doi.org/10.1111/risa.13717</w:t>
        </w:r>
      </w:hyperlink>
    </w:p>
    <w:p w14:paraId="7CA57C16" w14:textId="77777777" w:rsidR="00BA780F" w:rsidRDefault="00000000">
      <w:pPr>
        <w:numPr>
          <w:ilvl w:val="0"/>
          <w:numId w:val="17"/>
        </w:numPr>
        <w:spacing w:before="105" w:after="105" w:line="360" w:lineRule="auto"/>
      </w:pPr>
      <w:r>
        <w:rPr>
          <w:rFonts w:eastAsia="Georgia" w:hAnsi="Georgia" w:cs="Georgia"/>
          <w:color w:val="000000"/>
        </w:rPr>
        <w:t>UK deliberative data show fracking-era trust violations spill over to depress CCS acceptance via the social amplification of risk framework. Supports the argument that institutional trust is path-dependent and historically situated — especially in oil-and-gas-experienced regions.</w:t>
      </w:r>
    </w:p>
    <w:p w14:paraId="73966022" w14:textId="77777777" w:rsidR="00BA780F" w:rsidRDefault="00000000">
      <w:pPr>
        <w:numPr>
          <w:ilvl w:val="0"/>
          <w:numId w:val="17"/>
        </w:numPr>
        <w:spacing w:before="105" w:after="105" w:line="360" w:lineRule="auto"/>
      </w:pPr>
      <w:r>
        <w:rPr>
          <w:rFonts w:eastAsia="Georgia" w:hAnsi="Georgia" w:cs="Georgia"/>
          <w:b/>
          <w:color w:val="000000"/>
        </w:rPr>
        <w:t>Tag:</w:t>
      </w:r>
      <w:r>
        <w:rPr>
          <w:rFonts w:eastAsia="Georgia" w:hAnsi="Georgia" w:cs="Georgia"/>
          <w:color w:val="000000"/>
        </w:rPr>
        <w:t xml:space="preserve"> CCS acceptance; trust.</w:t>
      </w:r>
    </w:p>
    <w:p w14:paraId="6AF2FA33" w14:textId="77777777" w:rsidR="00BA780F" w:rsidRDefault="00000000">
      <w:pPr>
        <w:spacing w:after="210" w:line="360" w:lineRule="auto"/>
      </w:pPr>
      <w:r>
        <w:rPr>
          <w:rFonts w:eastAsia="Georgia" w:hAnsi="Georgia" w:cs="Georgia"/>
          <w:b/>
          <w:color w:val="000000"/>
        </w:rPr>
        <w:t>B9. Stephanides, P., Chilvers, J., Honeybun-Arnolda, E., Hargreaves, T., Pallett, H., Groves, C., Pidgeon, N., Henwood, K., &amp; Gross, R. (2025).</w:t>
      </w:r>
      <w:r>
        <w:rPr>
          <w:rFonts w:eastAsia="Georgia" w:hAnsi="Georgia" w:cs="Georgia"/>
          <w:color w:val="000000"/>
        </w:rPr>
        <w:t xml:space="preserve"> Beyond public acceptance: Towards systemic societal responsiveness of net zero infrastructures. </w:t>
      </w:r>
      <w:r>
        <w:rPr>
          <w:rFonts w:eastAsia="Georgia" w:hAnsi="Georgia" w:cs="Georgia"/>
          <w:i/>
          <w:color w:val="000000"/>
        </w:rPr>
        <w:t>Energy Research &amp; Social Science</w:t>
      </w:r>
      <w:r>
        <w:rPr>
          <w:rFonts w:eastAsia="Georgia" w:hAnsi="Georgia" w:cs="Georgia"/>
          <w:color w:val="000000"/>
        </w:rPr>
        <w:t xml:space="preserve">, </w:t>
      </w:r>
      <w:r>
        <w:rPr>
          <w:rFonts w:eastAsia="Georgia" w:hAnsi="Georgia" w:cs="Georgia"/>
          <w:i/>
          <w:color w:val="000000"/>
        </w:rPr>
        <w:t>127</w:t>
      </w:r>
      <w:r>
        <w:rPr>
          <w:rFonts w:eastAsia="Georgia" w:hAnsi="Georgia" w:cs="Georgia"/>
          <w:color w:val="000000"/>
        </w:rPr>
        <w:t xml:space="preserve">, 104251. </w:t>
      </w:r>
      <w:hyperlink r:id="rId77">
        <w:r>
          <w:rPr>
            <w:rFonts w:ascii="helvetica neue" w:eastAsia="helvetica neue" w:hAnsi="helvetica neue" w:cs="helvetica neue"/>
            <w:u w:val="single"/>
          </w:rPr>
          <w:t>https://doi.org/10.1016/j.erss.2025.104251</w:t>
        </w:r>
      </w:hyperlink>
    </w:p>
    <w:p w14:paraId="06756E7E" w14:textId="77777777" w:rsidR="00BA780F" w:rsidRDefault="00000000">
      <w:pPr>
        <w:numPr>
          <w:ilvl w:val="0"/>
          <w:numId w:val="18"/>
        </w:numPr>
        <w:spacing w:before="105" w:after="105" w:line="360" w:lineRule="auto"/>
      </w:pPr>
      <w:r>
        <w:rPr>
          <w:rFonts w:eastAsia="Georgia" w:hAnsi="Georgia" w:cs="Georgia"/>
          <w:color w:val="000000"/>
        </w:rPr>
        <w:t>Theorizes four perspectives on public–infrastructure relations (acceptance, acceptability, situational responsiveness, systemic responsiveness) and argues net-zero infrastructure governance requires the latter. The clearest contemporary statement of the "beyond acceptance" position — directly supports the manuscript's title and frame.</w:t>
      </w:r>
    </w:p>
    <w:p w14:paraId="621C83E8" w14:textId="77777777" w:rsidR="00BA780F" w:rsidRDefault="00000000">
      <w:pPr>
        <w:numPr>
          <w:ilvl w:val="0"/>
          <w:numId w:val="18"/>
        </w:numPr>
        <w:spacing w:before="105" w:after="105" w:line="360" w:lineRule="auto"/>
      </w:pPr>
      <w:r>
        <w:rPr>
          <w:rFonts w:eastAsia="Georgia" w:hAnsi="Georgia" w:cs="Georgia"/>
          <w:b/>
          <w:color w:val="000000"/>
        </w:rPr>
        <w:t>Tag:</w:t>
      </w:r>
      <w:r>
        <w:rPr>
          <w:rFonts w:eastAsia="Georgia" w:hAnsi="Georgia" w:cs="Georgia"/>
          <w:color w:val="000000"/>
        </w:rPr>
        <w:t xml:space="preserve"> CCS acceptance; governance framing.</w:t>
      </w:r>
    </w:p>
    <w:p w14:paraId="7AFD3498" w14:textId="77777777" w:rsidR="00BA780F" w:rsidRDefault="00000000">
      <w:pPr>
        <w:spacing w:after="210" w:line="360" w:lineRule="auto"/>
      </w:pPr>
      <w:r>
        <w:rPr>
          <w:rFonts w:eastAsia="Georgia" w:hAnsi="Georgia" w:cs="Georgia"/>
          <w:b/>
          <w:color w:val="000000"/>
        </w:rPr>
        <w:t>B10. San Román-Niaves, M., Morandini, S., &amp; Pietrantoni, L. (2026).</w:t>
      </w:r>
      <w:r>
        <w:rPr>
          <w:rFonts w:eastAsia="Georgia" w:hAnsi="Georgia" w:cs="Georgia"/>
          <w:color w:val="000000"/>
        </w:rPr>
        <w:t xml:space="preserve"> How trust in stakeholders shapes social acceptance of Carbon Capture and Storage. </w:t>
      </w:r>
      <w:r>
        <w:rPr>
          <w:rFonts w:eastAsia="Georgia" w:hAnsi="Georgia" w:cs="Georgia"/>
          <w:i/>
          <w:color w:val="000000"/>
        </w:rPr>
        <w:t>Journal of Risk Research</w:t>
      </w:r>
      <w:r>
        <w:rPr>
          <w:rFonts w:eastAsia="Georgia" w:hAnsi="Georgia" w:cs="Georgia"/>
          <w:color w:val="000000"/>
        </w:rPr>
        <w:t xml:space="preserve">, </w:t>
      </w:r>
      <w:r>
        <w:rPr>
          <w:rFonts w:eastAsia="Georgia" w:hAnsi="Georgia" w:cs="Georgia"/>
          <w:i/>
          <w:color w:val="000000"/>
        </w:rPr>
        <w:t>29</w:t>
      </w:r>
      <w:r>
        <w:rPr>
          <w:rFonts w:eastAsia="Georgia" w:hAnsi="Georgia" w:cs="Georgia"/>
          <w:color w:val="000000"/>
        </w:rPr>
        <w:t xml:space="preserve">(3), 305–320. </w:t>
      </w:r>
      <w:hyperlink r:id="rId78">
        <w:r>
          <w:rPr>
            <w:rFonts w:ascii="helvetica neue" w:eastAsia="helvetica neue" w:hAnsi="helvetica neue" w:cs="helvetica neue"/>
            <w:u w:val="single"/>
          </w:rPr>
          <w:t>https://doi.org/10.1080/13669877.2026.2636954</w:t>
        </w:r>
      </w:hyperlink>
    </w:p>
    <w:p w14:paraId="5ED798D6" w14:textId="77777777" w:rsidR="00BA780F" w:rsidRDefault="00000000">
      <w:pPr>
        <w:numPr>
          <w:ilvl w:val="0"/>
          <w:numId w:val="19"/>
        </w:numPr>
        <w:spacing w:before="105" w:after="105" w:line="360" w:lineRule="auto"/>
      </w:pPr>
      <w:r>
        <w:rPr>
          <w:rFonts w:eastAsia="Georgia" w:hAnsi="Georgia" w:cs="Georgia"/>
          <w:color w:val="000000"/>
        </w:rPr>
        <w:t>SEM analysis (N = 800, Poland and Czechia): trust drives perceived benefits (β = .58) more than perceived risks (β = .15); a direct trust→acceptance path (β = .28) persists. Provides a recent, methodologically rigorous SEM template for the manuscript's hypothesized mediational model.</w:t>
      </w:r>
    </w:p>
    <w:p w14:paraId="100F400F" w14:textId="77777777" w:rsidR="00BA780F" w:rsidRDefault="00000000">
      <w:pPr>
        <w:numPr>
          <w:ilvl w:val="0"/>
          <w:numId w:val="19"/>
        </w:numPr>
        <w:spacing w:before="105" w:after="105" w:line="360" w:lineRule="auto"/>
      </w:pPr>
      <w:r>
        <w:rPr>
          <w:rFonts w:eastAsia="Georgia" w:hAnsi="Georgia" w:cs="Georgia"/>
          <w:b/>
          <w:color w:val="000000"/>
        </w:rPr>
        <w:t>Tag:</w:t>
      </w:r>
      <w:r>
        <w:rPr>
          <w:rFonts w:eastAsia="Georgia" w:hAnsi="Georgia" w:cs="Georgia"/>
          <w:color w:val="000000"/>
        </w:rPr>
        <w:t xml:space="preserve"> CCS acceptance; governance framing; SEM.</w:t>
      </w:r>
    </w:p>
    <w:p w14:paraId="34192BA8" w14:textId="77777777" w:rsidR="00BA780F" w:rsidRDefault="00000000">
      <w:pPr>
        <w:spacing w:after="210" w:line="360" w:lineRule="auto"/>
      </w:pPr>
      <w:r>
        <w:rPr>
          <w:rFonts w:eastAsia="Georgia" w:hAnsi="Georgia" w:cs="Georgia"/>
          <w:b/>
          <w:color w:val="000000"/>
        </w:rPr>
        <w:t>B11. Mabon, L., Kita, J., &amp; Xue, Z. (2017).</w:t>
      </w:r>
      <w:r>
        <w:rPr>
          <w:rFonts w:eastAsia="Georgia" w:hAnsi="Georgia" w:cs="Georgia"/>
          <w:color w:val="000000"/>
        </w:rPr>
        <w:t xml:space="preserve"> Challenges for social impact assessment in coastal regions: A case study of the Tomakomai CCS Demonstration Project. </w:t>
      </w:r>
      <w:r>
        <w:rPr>
          <w:rFonts w:eastAsia="Georgia" w:hAnsi="Georgia" w:cs="Georgia"/>
          <w:i/>
          <w:color w:val="000000"/>
        </w:rPr>
        <w:t>Marine Policy</w:t>
      </w:r>
      <w:r>
        <w:rPr>
          <w:rFonts w:eastAsia="Georgia" w:hAnsi="Georgia" w:cs="Georgia"/>
          <w:color w:val="000000"/>
        </w:rPr>
        <w:t xml:space="preserve">, </w:t>
      </w:r>
      <w:r>
        <w:rPr>
          <w:rFonts w:eastAsia="Georgia" w:hAnsi="Georgia" w:cs="Georgia"/>
          <w:i/>
          <w:color w:val="000000"/>
        </w:rPr>
        <w:t>83</w:t>
      </w:r>
      <w:r>
        <w:rPr>
          <w:rFonts w:eastAsia="Georgia" w:hAnsi="Georgia" w:cs="Georgia"/>
          <w:color w:val="000000"/>
        </w:rPr>
        <w:t xml:space="preserve">, 243–251. </w:t>
      </w:r>
      <w:hyperlink r:id="rId79">
        <w:r>
          <w:rPr>
            <w:rFonts w:ascii="helvetica neue" w:eastAsia="helvetica neue" w:hAnsi="helvetica neue" w:cs="helvetica neue"/>
            <w:u w:val="single"/>
          </w:rPr>
          <w:t>https://doi.org/10.1016/j.marpol.2017.06.015</w:t>
        </w:r>
      </w:hyperlink>
    </w:p>
    <w:p w14:paraId="44ACAC50" w14:textId="77777777" w:rsidR="00BA780F" w:rsidRDefault="00000000">
      <w:pPr>
        <w:numPr>
          <w:ilvl w:val="0"/>
          <w:numId w:val="20"/>
        </w:numPr>
        <w:spacing w:before="105" w:after="105" w:line="360" w:lineRule="auto"/>
      </w:pPr>
      <w:r>
        <w:rPr>
          <w:rFonts w:eastAsia="Georgia" w:hAnsi="Georgia" w:cs="Georgia"/>
          <w:color w:val="000000"/>
        </w:rPr>
        <w:t>Tomakomai (Japan) field study; coastal communities evaluate offshore CCS through cultural-identity and place-relationship frames, not just risk. Connects coastal CCS deployment with place attachment and recognition arguments germane to Louisiana coastal communities.</w:t>
      </w:r>
    </w:p>
    <w:p w14:paraId="2F5B6290" w14:textId="77777777" w:rsidR="00BA780F" w:rsidRDefault="00000000">
      <w:pPr>
        <w:numPr>
          <w:ilvl w:val="0"/>
          <w:numId w:val="20"/>
        </w:numPr>
        <w:spacing w:before="105" w:after="105" w:line="360" w:lineRule="auto"/>
      </w:pPr>
      <w:r>
        <w:rPr>
          <w:rFonts w:eastAsia="Georgia" w:hAnsi="Georgia" w:cs="Georgia"/>
          <w:b/>
          <w:color w:val="000000"/>
        </w:rPr>
        <w:t>Tag:</w:t>
      </w:r>
      <w:r>
        <w:rPr>
          <w:rFonts w:eastAsia="Georgia" w:hAnsi="Georgia" w:cs="Georgia"/>
          <w:color w:val="000000"/>
        </w:rPr>
        <w:t xml:space="preserve"> CCS acceptance; place-based; infrastructure siting.</w:t>
      </w:r>
    </w:p>
    <w:p w14:paraId="5FE0FE8F" w14:textId="77777777" w:rsidR="00BA780F" w:rsidRDefault="00000000">
      <w:pPr>
        <w:spacing w:before="315" w:after="105" w:line="360" w:lineRule="auto"/>
        <w:ind w:left="-30"/>
      </w:pPr>
      <w:bookmarkStart w:id="14" w:name="stream_2_infrastructure_siting_be_5daa21"/>
      <w:r>
        <w:rPr>
          <w:rFonts w:eastAsia="Georgia" w:hAnsi="Georgia" w:cs="Georgia"/>
          <w:b/>
          <w:color w:val="000000"/>
          <w:sz w:val="24"/>
        </w:rPr>
        <w:t>Stream 2 — Infrastructure siting beyond NIMBY</w:t>
      </w:r>
      <w:bookmarkEnd w:id="14"/>
    </w:p>
    <w:p w14:paraId="5592A264" w14:textId="77777777" w:rsidR="00BA780F" w:rsidRDefault="00000000">
      <w:pPr>
        <w:spacing w:after="210" w:line="360" w:lineRule="auto"/>
      </w:pPr>
      <w:r>
        <w:rPr>
          <w:rFonts w:eastAsia="Georgia" w:hAnsi="Georgia" w:cs="Georgia"/>
          <w:b/>
          <w:color w:val="000000"/>
        </w:rPr>
        <w:t>B12. Wüstenhagen, R., Wolsink, M., &amp; Bürer, M. J. (2007).</w:t>
      </w:r>
      <w:r>
        <w:rPr>
          <w:rFonts w:eastAsia="Georgia" w:hAnsi="Georgia" w:cs="Georgia"/>
          <w:color w:val="000000"/>
        </w:rPr>
        <w:t xml:space="preserve"> Social acceptance of renewable energy innovation: An introduction to the concept. </w:t>
      </w:r>
      <w:r>
        <w:rPr>
          <w:rFonts w:eastAsia="Georgia" w:hAnsi="Georgia" w:cs="Georgia"/>
          <w:i/>
          <w:color w:val="000000"/>
        </w:rPr>
        <w:t>Energy Policy</w:t>
      </w:r>
      <w:r>
        <w:rPr>
          <w:rFonts w:eastAsia="Georgia" w:hAnsi="Georgia" w:cs="Georgia"/>
          <w:color w:val="000000"/>
        </w:rPr>
        <w:t xml:space="preserve">, </w:t>
      </w:r>
      <w:r>
        <w:rPr>
          <w:rFonts w:eastAsia="Georgia" w:hAnsi="Georgia" w:cs="Georgia"/>
          <w:i/>
          <w:color w:val="000000"/>
        </w:rPr>
        <w:t>35</w:t>
      </w:r>
      <w:r>
        <w:rPr>
          <w:rFonts w:eastAsia="Georgia" w:hAnsi="Georgia" w:cs="Georgia"/>
          <w:color w:val="000000"/>
        </w:rPr>
        <w:t xml:space="preserve">(5), 2683–2691. </w:t>
      </w:r>
      <w:hyperlink r:id="rId80">
        <w:r>
          <w:rPr>
            <w:rFonts w:ascii="helvetica neue" w:eastAsia="helvetica neue" w:hAnsi="helvetica neue" w:cs="helvetica neue"/>
            <w:u w:val="single"/>
          </w:rPr>
          <w:t>https://doi.org/10.1016/j.enpol.2006.12.001</w:t>
        </w:r>
      </w:hyperlink>
    </w:p>
    <w:p w14:paraId="756CCC7D" w14:textId="77777777" w:rsidR="00BA780F" w:rsidRDefault="00000000">
      <w:pPr>
        <w:numPr>
          <w:ilvl w:val="0"/>
          <w:numId w:val="21"/>
        </w:numPr>
        <w:spacing w:before="105" w:after="105" w:line="360" w:lineRule="auto"/>
      </w:pPr>
      <w:r>
        <w:rPr>
          <w:rFonts w:eastAsia="Georgia" w:hAnsi="Georgia" w:cs="Georgia"/>
          <w:color w:val="000000"/>
        </w:rPr>
        <w:t xml:space="preserve">Introduces the three-dimensional triangle of social acceptance (socio-political, community, market). Provides the structural vocabulary you need to explain how CCS faces </w:t>
      </w:r>
      <w:r>
        <w:rPr>
          <w:rFonts w:eastAsia="Georgia" w:hAnsi="Georgia" w:cs="Georgia"/>
          <w:i/>
          <w:color w:val="000000"/>
        </w:rPr>
        <w:t>simultaneous</w:t>
      </w:r>
      <w:r>
        <w:rPr>
          <w:rFonts w:eastAsia="Georgia" w:hAnsi="Georgia" w:cs="Georgia"/>
          <w:color w:val="000000"/>
        </w:rPr>
        <w:t xml:space="preserve"> legitimacy deficits across all three levels.</w:t>
      </w:r>
    </w:p>
    <w:p w14:paraId="69EDC268" w14:textId="77777777" w:rsidR="00BA780F" w:rsidRDefault="00000000">
      <w:pPr>
        <w:numPr>
          <w:ilvl w:val="0"/>
          <w:numId w:val="21"/>
        </w:numPr>
        <w:spacing w:before="105" w:after="105" w:line="360" w:lineRule="auto"/>
      </w:pPr>
      <w:r>
        <w:rPr>
          <w:rFonts w:eastAsia="Georgia" w:hAnsi="Georgia" w:cs="Georgia"/>
          <w:b/>
          <w:color w:val="000000"/>
        </w:rPr>
        <w:t>Tag:</w:t>
      </w:r>
      <w:r>
        <w:rPr>
          <w:rFonts w:eastAsia="Georgia" w:hAnsi="Georgia" w:cs="Georgia"/>
          <w:color w:val="000000"/>
        </w:rPr>
        <w:t xml:space="preserve"> Infrastructure siting; framework.</w:t>
      </w:r>
    </w:p>
    <w:p w14:paraId="6147F84E" w14:textId="77777777" w:rsidR="00BA780F" w:rsidRDefault="00000000">
      <w:pPr>
        <w:spacing w:after="210" w:line="360" w:lineRule="auto"/>
      </w:pPr>
      <w:r>
        <w:rPr>
          <w:rFonts w:eastAsia="Georgia" w:hAnsi="Georgia" w:cs="Georgia"/>
          <w:b/>
          <w:color w:val="000000"/>
        </w:rPr>
        <w:t>B13. Wolsink, M. (2006).</w:t>
      </w:r>
      <w:r>
        <w:rPr>
          <w:rFonts w:eastAsia="Georgia" w:hAnsi="Georgia" w:cs="Georgia"/>
          <w:color w:val="000000"/>
        </w:rPr>
        <w:t xml:space="preserve"> Invalid theory impedes our understanding: A critique on the persistence of the language of NIMBY. </w:t>
      </w:r>
      <w:r>
        <w:rPr>
          <w:rFonts w:eastAsia="Georgia" w:hAnsi="Georgia" w:cs="Georgia"/>
          <w:i/>
          <w:color w:val="000000"/>
        </w:rPr>
        <w:t>Transactions of the Institute of British Geographers</w:t>
      </w:r>
      <w:r>
        <w:rPr>
          <w:rFonts w:eastAsia="Georgia" w:hAnsi="Georgia" w:cs="Georgia"/>
          <w:color w:val="000000"/>
        </w:rPr>
        <w:t xml:space="preserve">, </w:t>
      </w:r>
      <w:r>
        <w:rPr>
          <w:rFonts w:eastAsia="Georgia" w:hAnsi="Georgia" w:cs="Georgia"/>
          <w:i/>
          <w:color w:val="000000"/>
        </w:rPr>
        <w:t>31</w:t>
      </w:r>
      <w:r>
        <w:rPr>
          <w:rFonts w:eastAsia="Georgia" w:hAnsi="Georgia" w:cs="Georgia"/>
          <w:color w:val="000000"/>
        </w:rPr>
        <w:t xml:space="preserve">(1), 85–91. </w:t>
      </w:r>
      <w:hyperlink r:id="rId81">
        <w:r>
          <w:rPr>
            <w:rFonts w:ascii="helvetica neue" w:eastAsia="helvetica neue" w:hAnsi="helvetica neue" w:cs="helvetica neue"/>
            <w:u w:val="single"/>
          </w:rPr>
          <w:t>https://doi.org/10.1111/j.1475-5661.2006.00191.x</w:t>
        </w:r>
      </w:hyperlink>
    </w:p>
    <w:p w14:paraId="210DB117" w14:textId="77777777" w:rsidR="00BA780F" w:rsidRDefault="00000000">
      <w:pPr>
        <w:numPr>
          <w:ilvl w:val="0"/>
          <w:numId w:val="22"/>
        </w:numPr>
        <w:spacing w:before="105" w:after="105" w:line="360" w:lineRule="auto"/>
      </w:pPr>
      <w:r>
        <w:rPr>
          <w:rFonts w:eastAsia="Georgia" w:hAnsi="Georgia" w:cs="Georgia"/>
          <w:color w:val="000000"/>
        </w:rPr>
        <w:t>Definitive theoretical demolition of NIMBY as explanatory framework. Cite this to preempt reviewer pushback that CCS opposition is "just NIMBY."</w:t>
      </w:r>
    </w:p>
    <w:p w14:paraId="254F7049" w14:textId="77777777" w:rsidR="00BA780F" w:rsidRDefault="00000000">
      <w:pPr>
        <w:numPr>
          <w:ilvl w:val="0"/>
          <w:numId w:val="22"/>
        </w:numPr>
        <w:spacing w:before="105" w:after="105" w:line="360" w:lineRule="auto"/>
      </w:pPr>
      <w:r>
        <w:rPr>
          <w:rFonts w:eastAsia="Georgia" w:hAnsi="Georgia" w:cs="Georgia"/>
          <w:b/>
          <w:color w:val="000000"/>
        </w:rPr>
        <w:t>Tag:</w:t>
      </w:r>
      <w:r>
        <w:rPr>
          <w:rFonts w:eastAsia="Georgia" w:hAnsi="Georgia" w:cs="Georgia"/>
          <w:color w:val="000000"/>
        </w:rPr>
        <w:t xml:space="preserve"> Infrastructure siting.</w:t>
      </w:r>
    </w:p>
    <w:p w14:paraId="73936B72" w14:textId="77777777" w:rsidR="00BA780F" w:rsidRDefault="00000000">
      <w:pPr>
        <w:spacing w:after="210" w:line="360" w:lineRule="auto"/>
      </w:pPr>
      <w:r>
        <w:rPr>
          <w:rFonts w:eastAsia="Georgia" w:hAnsi="Georgia" w:cs="Georgia"/>
          <w:b/>
          <w:color w:val="000000"/>
        </w:rPr>
        <w:t>B14. Devine-Wright, P. (2009).</w:t>
      </w:r>
      <w:r>
        <w:rPr>
          <w:rFonts w:eastAsia="Georgia" w:hAnsi="Georgia" w:cs="Georgia"/>
          <w:color w:val="000000"/>
        </w:rPr>
        <w:t xml:space="preserve"> Rethinking NIMBYism: The role of place attachment and place identity in explaining place-protective action. </w:t>
      </w:r>
      <w:r>
        <w:rPr>
          <w:rFonts w:eastAsia="Georgia" w:hAnsi="Georgia" w:cs="Georgia"/>
          <w:i/>
          <w:color w:val="000000"/>
        </w:rPr>
        <w:t>Journal of Community &amp; Applied Social Psychology</w:t>
      </w:r>
      <w:r>
        <w:rPr>
          <w:rFonts w:eastAsia="Georgia" w:hAnsi="Georgia" w:cs="Georgia"/>
          <w:color w:val="000000"/>
        </w:rPr>
        <w:t xml:space="preserve">, </w:t>
      </w:r>
      <w:r>
        <w:rPr>
          <w:rFonts w:eastAsia="Georgia" w:hAnsi="Georgia" w:cs="Georgia"/>
          <w:i/>
          <w:color w:val="000000"/>
        </w:rPr>
        <w:t>19</w:t>
      </w:r>
      <w:r>
        <w:rPr>
          <w:rFonts w:eastAsia="Georgia" w:hAnsi="Georgia" w:cs="Georgia"/>
          <w:color w:val="000000"/>
        </w:rPr>
        <w:t xml:space="preserve">(6), 426–441. </w:t>
      </w:r>
      <w:hyperlink r:id="rId82">
        <w:r>
          <w:rPr>
            <w:rFonts w:ascii="helvetica neue" w:eastAsia="helvetica neue" w:hAnsi="helvetica neue" w:cs="helvetica neue"/>
            <w:u w:val="single"/>
          </w:rPr>
          <w:t>https://doi.org/10.1002/casp.1004</w:t>
        </w:r>
      </w:hyperlink>
    </w:p>
    <w:p w14:paraId="798DE6D4" w14:textId="77777777" w:rsidR="00BA780F" w:rsidRDefault="00000000">
      <w:pPr>
        <w:numPr>
          <w:ilvl w:val="0"/>
          <w:numId w:val="23"/>
        </w:numPr>
        <w:spacing w:before="105" w:after="105" w:line="360" w:lineRule="auto"/>
      </w:pPr>
      <w:r>
        <w:rPr>
          <w:rFonts w:eastAsia="Georgia" w:hAnsi="Georgia" w:cs="Georgia"/>
          <w:color w:val="000000"/>
        </w:rPr>
        <w:t>Replaces NIMBY with "place-protective action" — opposition as a motivated defense of meaningful place. Theoretical scaffold for understanding Indigenous, rural, and landowner opposition to CCS pipelines and injection wells as place protection, not self-interest.</w:t>
      </w:r>
    </w:p>
    <w:p w14:paraId="53DD3AF1" w14:textId="77777777" w:rsidR="00BA780F" w:rsidRDefault="00000000">
      <w:pPr>
        <w:numPr>
          <w:ilvl w:val="0"/>
          <w:numId w:val="23"/>
        </w:numPr>
        <w:spacing w:before="105" w:after="105" w:line="360" w:lineRule="auto"/>
      </w:pPr>
      <w:r>
        <w:rPr>
          <w:rFonts w:eastAsia="Georgia" w:hAnsi="Georgia" w:cs="Georgia"/>
          <w:b/>
          <w:color w:val="000000"/>
        </w:rPr>
        <w:t>Tag:</w:t>
      </w:r>
      <w:r>
        <w:rPr>
          <w:rFonts w:eastAsia="Georgia" w:hAnsi="Georgia" w:cs="Georgia"/>
          <w:color w:val="000000"/>
        </w:rPr>
        <w:t xml:space="preserve"> Infrastructure siting.</w:t>
      </w:r>
    </w:p>
    <w:p w14:paraId="692B06FD" w14:textId="77777777" w:rsidR="00BA780F" w:rsidRDefault="00000000">
      <w:pPr>
        <w:spacing w:after="210" w:line="360" w:lineRule="auto"/>
      </w:pPr>
      <w:r>
        <w:rPr>
          <w:rFonts w:eastAsia="Georgia" w:hAnsi="Georgia" w:cs="Georgia"/>
          <w:b/>
          <w:color w:val="000000"/>
        </w:rPr>
        <w:t>B15. Devine-Wright, P., &amp; Batel, S. (2017).</w:t>
      </w:r>
      <w:r>
        <w:rPr>
          <w:rFonts w:eastAsia="Georgia" w:hAnsi="Georgia" w:cs="Georgia"/>
          <w:color w:val="000000"/>
        </w:rPr>
        <w:t xml:space="preserve"> My neighbourhood, my country or my planet? The influence of multiple place attachments and climate change concern on social acceptance of energy infrastructure. </w:t>
      </w:r>
      <w:r>
        <w:rPr>
          <w:rFonts w:eastAsia="Georgia" w:hAnsi="Georgia" w:cs="Georgia"/>
          <w:i/>
          <w:color w:val="000000"/>
        </w:rPr>
        <w:t>Global Environmental Change</w:t>
      </w:r>
      <w:r>
        <w:rPr>
          <w:rFonts w:eastAsia="Georgia" w:hAnsi="Georgia" w:cs="Georgia"/>
          <w:color w:val="000000"/>
        </w:rPr>
        <w:t xml:space="preserve">, </w:t>
      </w:r>
      <w:r>
        <w:rPr>
          <w:rFonts w:eastAsia="Georgia" w:hAnsi="Georgia" w:cs="Georgia"/>
          <w:i/>
          <w:color w:val="000000"/>
        </w:rPr>
        <w:t>47</w:t>
      </w:r>
      <w:r>
        <w:rPr>
          <w:rFonts w:eastAsia="Georgia" w:hAnsi="Georgia" w:cs="Georgia"/>
          <w:color w:val="000000"/>
        </w:rPr>
        <w:t xml:space="preserve">, 110–120. </w:t>
      </w:r>
      <w:hyperlink r:id="rId83">
        <w:r>
          <w:rPr>
            <w:rFonts w:ascii="helvetica neue" w:eastAsia="helvetica neue" w:hAnsi="helvetica neue" w:cs="helvetica neue"/>
            <w:u w:val="single"/>
          </w:rPr>
          <w:t>https://doi.org/10.1016/j.gloenvcha.2017.08.003</w:t>
        </w:r>
      </w:hyperlink>
    </w:p>
    <w:p w14:paraId="32B81724" w14:textId="77777777" w:rsidR="00BA780F" w:rsidRDefault="00000000">
      <w:pPr>
        <w:numPr>
          <w:ilvl w:val="0"/>
          <w:numId w:val="24"/>
        </w:numPr>
        <w:spacing w:before="105" w:after="105" w:line="360" w:lineRule="auto"/>
      </w:pPr>
      <w:r>
        <w:rPr>
          <w:rFonts w:eastAsia="Georgia" w:hAnsi="Georgia" w:cs="Georgia"/>
          <w:color w:val="000000"/>
        </w:rPr>
        <w:t>Shows that place attachments operate at multiple scales (local, national, planetary) and interact non-additively with climate concern. Supports the argument that climate-positive framing does not — and should not — override local/Indigenous attachment claims.</w:t>
      </w:r>
    </w:p>
    <w:p w14:paraId="5B5C83E3" w14:textId="77777777" w:rsidR="00BA780F" w:rsidRDefault="00000000">
      <w:pPr>
        <w:numPr>
          <w:ilvl w:val="0"/>
          <w:numId w:val="24"/>
        </w:numPr>
        <w:spacing w:before="105" w:after="105" w:line="360" w:lineRule="auto"/>
      </w:pPr>
      <w:r>
        <w:rPr>
          <w:rFonts w:eastAsia="Georgia" w:hAnsi="Georgia" w:cs="Georgia"/>
          <w:b/>
          <w:color w:val="000000"/>
        </w:rPr>
        <w:t>Tag:</w:t>
      </w:r>
      <w:r>
        <w:rPr>
          <w:rFonts w:eastAsia="Georgia" w:hAnsi="Georgia" w:cs="Georgia"/>
          <w:color w:val="000000"/>
        </w:rPr>
        <w:t xml:space="preserve"> Infrastructure siting.</w:t>
      </w:r>
    </w:p>
    <w:p w14:paraId="073C8412" w14:textId="77777777" w:rsidR="00BA780F" w:rsidRDefault="00000000">
      <w:pPr>
        <w:spacing w:after="210" w:line="360" w:lineRule="auto"/>
      </w:pPr>
      <w:r>
        <w:rPr>
          <w:rFonts w:eastAsia="Georgia" w:hAnsi="Georgia" w:cs="Georgia"/>
          <w:b/>
          <w:color w:val="000000"/>
        </w:rPr>
        <w:t>B16. Batel, S. (2018).</w:t>
      </w:r>
      <w:r>
        <w:rPr>
          <w:rFonts w:eastAsia="Georgia" w:hAnsi="Georgia" w:cs="Georgia"/>
          <w:color w:val="000000"/>
        </w:rPr>
        <w:t xml:space="preserve"> A critical discussion of research on the social acceptance of renewable energy generation and associated infrastructures and an agenda for the future. </w:t>
      </w:r>
      <w:r>
        <w:rPr>
          <w:rFonts w:eastAsia="Georgia" w:hAnsi="Georgia" w:cs="Georgia"/>
          <w:i/>
          <w:color w:val="000000"/>
        </w:rPr>
        <w:t>Journal of Environmental Policy &amp; Planning</w:t>
      </w:r>
      <w:r>
        <w:rPr>
          <w:rFonts w:eastAsia="Georgia" w:hAnsi="Georgia" w:cs="Georgia"/>
          <w:color w:val="000000"/>
        </w:rPr>
        <w:t xml:space="preserve">, </w:t>
      </w:r>
      <w:r>
        <w:rPr>
          <w:rFonts w:eastAsia="Georgia" w:hAnsi="Georgia" w:cs="Georgia"/>
          <w:i/>
          <w:color w:val="000000"/>
        </w:rPr>
        <w:t>20</w:t>
      </w:r>
      <w:r>
        <w:rPr>
          <w:rFonts w:eastAsia="Georgia" w:hAnsi="Georgia" w:cs="Georgia"/>
          <w:color w:val="000000"/>
        </w:rPr>
        <w:t xml:space="preserve">(3), 356–369. </w:t>
      </w:r>
      <w:hyperlink r:id="rId84">
        <w:r>
          <w:rPr>
            <w:rFonts w:ascii="helvetica neue" w:eastAsia="helvetica neue" w:hAnsi="helvetica neue" w:cs="helvetica neue"/>
            <w:u w:val="single"/>
          </w:rPr>
          <w:t>https://doi.org/10.1080/1523908x.2017.1417120</w:t>
        </w:r>
      </w:hyperlink>
    </w:p>
    <w:p w14:paraId="37A34988" w14:textId="77777777" w:rsidR="00BA780F" w:rsidRDefault="00000000">
      <w:pPr>
        <w:numPr>
          <w:ilvl w:val="0"/>
          <w:numId w:val="25"/>
        </w:numPr>
        <w:spacing w:before="105" w:after="105" w:line="360" w:lineRule="auto"/>
      </w:pPr>
      <w:r>
        <w:rPr>
          <w:rFonts w:eastAsia="Georgia" w:hAnsi="Georgia" w:cs="Georgia"/>
          <w:color w:val="000000"/>
        </w:rPr>
        <w:t>Wide-ranging critique: acceptance research often pathologizes dissent and serves developer interests; calls for a justice-grounded social science. Directly supports your "beyond acceptance" reframe.</w:t>
      </w:r>
    </w:p>
    <w:p w14:paraId="0E48B994" w14:textId="77777777" w:rsidR="00BA780F" w:rsidRDefault="00000000">
      <w:pPr>
        <w:numPr>
          <w:ilvl w:val="0"/>
          <w:numId w:val="25"/>
        </w:numPr>
        <w:spacing w:before="105" w:after="105" w:line="360" w:lineRule="auto"/>
      </w:pPr>
      <w:r>
        <w:rPr>
          <w:rFonts w:eastAsia="Georgia" w:hAnsi="Georgia" w:cs="Georgia"/>
          <w:b/>
          <w:color w:val="000000"/>
        </w:rPr>
        <w:t>Tag:</w:t>
      </w:r>
      <w:r>
        <w:rPr>
          <w:rFonts w:eastAsia="Georgia" w:hAnsi="Georgia" w:cs="Georgia"/>
          <w:color w:val="000000"/>
        </w:rPr>
        <w:t xml:space="preserve"> Infrastructure siting; energy justice.</w:t>
      </w:r>
    </w:p>
    <w:p w14:paraId="17042E12" w14:textId="77777777" w:rsidR="00BA780F" w:rsidRDefault="00000000">
      <w:pPr>
        <w:spacing w:after="210" w:line="360" w:lineRule="auto"/>
      </w:pPr>
      <w:r>
        <w:rPr>
          <w:rFonts w:eastAsia="Georgia" w:hAnsi="Georgia" w:cs="Georgia"/>
          <w:b/>
          <w:color w:val="000000"/>
        </w:rPr>
        <w:t>B17. Bergquist, P., Ansolabehere, S., Carley, S., &amp; Konisky, D. M. (2020).</w:t>
      </w:r>
      <w:r>
        <w:rPr>
          <w:rFonts w:eastAsia="Georgia" w:hAnsi="Georgia" w:cs="Georgia"/>
          <w:color w:val="000000"/>
        </w:rPr>
        <w:t xml:space="preserve"> Backyard voices: How sense of place shapes views of large-scale energy transmission infrastructure. </w:t>
      </w:r>
      <w:r>
        <w:rPr>
          <w:rFonts w:eastAsia="Georgia" w:hAnsi="Georgia" w:cs="Georgia"/>
          <w:i/>
          <w:color w:val="000000"/>
        </w:rPr>
        <w:t>Energy Research &amp; Social Science</w:t>
      </w:r>
      <w:r>
        <w:rPr>
          <w:rFonts w:eastAsia="Georgia" w:hAnsi="Georgia" w:cs="Georgia"/>
          <w:color w:val="000000"/>
        </w:rPr>
        <w:t xml:space="preserve">, </w:t>
      </w:r>
      <w:r>
        <w:rPr>
          <w:rFonts w:eastAsia="Georgia" w:hAnsi="Georgia" w:cs="Georgia"/>
          <w:i/>
          <w:color w:val="000000"/>
        </w:rPr>
        <w:t>63</w:t>
      </w:r>
      <w:r>
        <w:rPr>
          <w:rFonts w:eastAsia="Georgia" w:hAnsi="Georgia" w:cs="Georgia"/>
          <w:color w:val="000000"/>
        </w:rPr>
        <w:t xml:space="preserve">, 101396. </w:t>
      </w:r>
      <w:hyperlink r:id="rId85">
        <w:r>
          <w:rPr>
            <w:rFonts w:ascii="helvetica neue" w:eastAsia="helvetica neue" w:hAnsi="helvetica neue" w:cs="helvetica neue"/>
            <w:u w:val="single"/>
          </w:rPr>
          <w:t>https://doi.org/10.1016/j.erss.2019.101396</w:t>
        </w:r>
      </w:hyperlink>
    </w:p>
    <w:p w14:paraId="16683113" w14:textId="77777777" w:rsidR="00BA780F" w:rsidRDefault="00000000">
      <w:pPr>
        <w:numPr>
          <w:ilvl w:val="0"/>
          <w:numId w:val="26"/>
        </w:numPr>
        <w:spacing w:before="105" w:after="105" w:line="360" w:lineRule="auto"/>
      </w:pPr>
      <w:r>
        <w:rPr>
          <w:rFonts w:eastAsia="Georgia" w:hAnsi="Georgia" w:cs="Georgia"/>
          <w:color w:val="000000"/>
        </w:rPr>
        <w:t>Midwest transmission case shows symbolic place meanings filter even economic evaluations — economic framing alone is insufficient. Powerful evidence against "jobs-and-revenue" justifications for CCS in fossil-fuel regions.</w:t>
      </w:r>
    </w:p>
    <w:p w14:paraId="362F52C9" w14:textId="77777777" w:rsidR="00BA780F" w:rsidRDefault="00000000">
      <w:pPr>
        <w:numPr>
          <w:ilvl w:val="0"/>
          <w:numId w:val="26"/>
        </w:numPr>
        <w:spacing w:before="105" w:after="105" w:line="360" w:lineRule="auto"/>
      </w:pPr>
      <w:r>
        <w:rPr>
          <w:rFonts w:eastAsia="Georgia" w:hAnsi="Georgia" w:cs="Georgia"/>
          <w:b/>
          <w:color w:val="000000"/>
        </w:rPr>
        <w:t>Tag:</w:t>
      </w:r>
      <w:r>
        <w:rPr>
          <w:rFonts w:eastAsia="Georgia" w:hAnsi="Georgia" w:cs="Georgia"/>
          <w:color w:val="000000"/>
        </w:rPr>
        <w:t xml:space="preserve"> Infrastructure siting; place-based.</w:t>
      </w:r>
    </w:p>
    <w:p w14:paraId="5087BB4A" w14:textId="77777777" w:rsidR="00BA780F" w:rsidRDefault="00000000">
      <w:pPr>
        <w:spacing w:after="210" w:line="360" w:lineRule="auto"/>
      </w:pPr>
      <w:r>
        <w:rPr>
          <w:rFonts w:eastAsia="Georgia" w:hAnsi="Georgia" w:cs="Georgia"/>
          <w:b/>
          <w:color w:val="000000"/>
        </w:rPr>
        <w:t>B18. Cha, J. M. (2020).</w:t>
      </w:r>
      <w:r>
        <w:rPr>
          <w:rFonts w:eastAsia="Georgia" w:hAnsi="Georgia" w:cs="Georgia"/>
          <w:color w:val="000000"/>
        </w:rPr>
        <w:t xml:space="preserve"> A just transition for whom? Politics, contestation, and social identity in the disruption of coal in the Powder River Basin. </w:t>
      </w:r>
      <w:r>
        <w:rPr>
          <w:rFonts w:eastAsia="Georgia" w:hAnsi="Georgia" w:cs="Georgia"/>
          <w:i/>
          <w:color w:val="000000"/>
        </w:rPr>
        <w:t>Energy Research &amp; Social Science</w:t>
      </w:r>
      <w:r>
        <w:rPr>
          <w:rFonts w:eastAsia="Georgia" w:hAnsi="Georgia" w:cs="Georgia"/>
          <w:color w:val="000000"/>
        </w:rPr>
        <w:t xml:space="preserve">, </w:t>
      </w:r>
      <w:r>
        <w:rPr>
          <w:rFonts w:eastAsia="Georgia" w:hAnsi="Georgia" w:cs="Georgia"/>
          <w:i/>
          <w:color w:val="000000"/>
        </w:rPr>
        <w:t>69</w:t>
      </w:r>
      <w:r>
        <w:rPr>
          <w:rFonts w:eastAsia="Georgia" w:hAnsi="Georgia" w:cs="Georgia"/>
          <w:color w:val="000000"/>
        </w:rPr>
        <w:t xml:space="preserve">, 101657. </w:t>
      </w:r>
      <w:hyperlink r:id="rId86">
        <w:r>
          <w:rPr>
            <w:rFonts w:ascii="helvetica neue" w:eastAsia="helvetica neue" w:hAnsi="helvetica neue" w:cs="helvetica neue"/>
            <w:u w:val="single"/>
          </w:rPr>
          <w:t>https://doi.org/10.1016/j.erss.2020.101657</w:t>
        </w:r>
      </w:hyperlink>
    </w:p>
    <w:p w14:paraId="0228F0A9" w14:textId="77777777" w:rsidR="00BA780F" w:rsidRDefault="00000000">
      <w:pPr>
        <w:numPr>
          <w:ilvl w:val="0"/>
          <w:numId w:val="27"/>
        </w:numPr>
        <w:spacing w:before="105" w:after="105" w:line="360" w:lineRule="auto"/>
      </w:pPr>
      <w:r>
        <w:rPr>
          <w:rFonts w:eastAsia="Georgia" w:hAnsi="Georgia" w:cs="Georgia"/>
          <w:color w:val="000000"/>
        </w:rPr>
        <w:t>Wyoming coal interviews show energy transition is contested even after closures — identity, not just income, drives resistance. Direct analog: how Louisiana oil-and-gas identity may interact with CCS governance framing.</w:t>
      </w:r>
    </w:p>
    <w:p w14:paraId="77A530A6" w14:textId="77777777" w:rsidR="00BA780F" w:rsidRDefault="00000000">
      <w:pPr>
        <w:numPr>
          <w:ilvl w:val="0"/>
          <w:numId w:val="27"/>
        </w:numPr>
        <w:spacing w:before="105" w:after="105" w:line="360" w:lineRule="auto"/>
      </w:pPr>
      <w:r>
        <w:rPr>
          <w:rFonts w:eastAsia="Georgia" w:hAnsi="Georgia" w:cs="Georgia"/>
          <w:b/>
          <w:color w:val="000000"/>
        </w:rPr>
        <w:t>Tag:</w:t>
      </w:r>
      <w:r>
        <w:rPr>
          <w:rFonts w:eastAsia="Georgia" w:hAnsi="Georgia" w:cs="Georgia"/>
          <w:color w:val="000000"/>
        </w:rPr>
        <w:t xml:space="preserve"> Infrastructure siting; fossil-region identity.</w:t>
      </w:r>
    </w:p>
    <w:p w14:paraId="1748456C" w14:textId="77777777" w:rsidR="00BA780F" w:rsidRDefault="00000000">
      <w:pPr>
        <w:spacing w:before="315" w:after="105" w:line="360" w:lineRule="auto"/>
        <w:ind w:left="-30"/>
      </w:pPr>
      <w:bookmarkStart w:id="15" w:name="stream_3_energy_justice_procedura_34bb27"/>
      <w:r>
        <w:rPr>
          <w:rFonts w:eastAsia="Georgia" w:hAnsi="Georgia" w:cs="Georgia"/>
          <w:b/>
          <w:color w:val="000000"/>
          <w:sz w:val="24"/>
        </w:rPr>
        <w:t>Stream 3 — Energy justice (procedural, recognition, distributive)</w:t>
      </w:r>
      <w:bookmarkEnd w:id="15"/>
    </w:p>
    <w:p w14:paraId="4A9C070B" w14:textId="77777777" w:rsidR="00BA780F" w:rsidRDefault="00000000">
      <w:pPr>
        <w:spacing w:after="210" w:line="360" w:lineRule="auto"/>
      </w:pPr>
      <w:r>
        <w:rPr>
          <w:rFonts w:eastAsia="Georgia" w:hAnsi="Georgia" w:cs="Georgia"/>
          <w:b/>
          <w:color w:val="000000"/>
        </w:rPr>
        <w:t>B19. McCauley, D., Heffron, R. J., Stephan, H., &amp; Jenkins, K. (2013).</w:t>
      </w:r>
      <w:r>
        <w:rPr>
          <w:rFonts w:eastAsia="Georgia" w:hAnsi="Georgia" w:cs="Georgia"/>
          <w:color w:val="000000"/>
        </w:rPr>
        <w:t xml:space="preserve"> Advancing energy justice: The triumvirate of tenets. </w:t>
      </w:r>
      <w:r>
        <w:rPr>
          <w:rFonts w:eastAsia="Georgia" w:hAnsi="Georgia" w:cs="Georgia"/>
          <w:i/>
          <w:color w:val="000000"/>
        </w:rPr>
        <w:t>International Energy Law Review</w:t>
      </w:r>
      <w:r>
        <w:rPr>
          <w:rFonts w:eastAsia="Georgia" w:hAnsi="Georgia" w:cs="Georgia"/>
          <w:color w:val="000000"/>
        </w:rPr>
        <w:t xml:space="preserve">, </w:t>
      </w:r>
      <w:r>
        <w:rPr>
          <w:rFonts w:eastAsia="Georgia" w:hAnsi="Georgia" w:cs="Georgia"/>
          <w:i/>
          <w:color w:val="000000"/>
        </w:rPr>
        <w:t>3</w:t>
      </w:r>
      <w:r>
        <w:rPr>
          <w:rFonts w:eastAsia="Georgia" w:hAnsi="Georgia" w:cs="Georgia"/>
          <w:color w:val="000000"/>
        </w:rPr>
        <w:t xml:space="preserve">(3), 107–111. </w:t>
      </w:r>
      <w:r>
        <w:rPr>
          <w:rFonts w:eastAsia="Georgia" w:hAnsi="Georgia" w:cs="Georgia"/>
          <w:b/>
          <w:color w:val="000000"/>
        </w:rPr>
        <w:t>DOI UNCERTAIN</w:t>
      </w:r>
      <w:r>
        <w:rPr>
          <w:rFonts w:eastAsia="Georgia" w:hAnsi="Georgia" w:cs="Georgia"/>
          <w:color w:val="000000"/>
        </w:rPr>
        <w:t xml:space="preserve"> — the journal predates systematic DOI assignment; citation is confirmed in Jenkins et al. (2016) and other Crossref-indexed reference lists but no Crossref DOI is registered. Cite by journal/volume/pages.</w:t>
      </w:r>
    </w:p>
    <w:p w14:paraId="5EC6FD6C" w14:textId="77777777" w:rsidR="00BA780F" w:rsidRDefault="00000000">
      <w:pPr>
        <w:numPr>
          <w:ilvl w:val="0"/>
          <w:numId w:val="28"/>
        </w:numPr>
        <w:spacing w:before="105" w:after="105" w:line="360" w:lineRule="auto"/>
      </w:pPr>
      <w:r>
        <w:rPr>
          <w:rFonts w:eastAsia="Georgia" w:hAnsi="Georgia" w:cs="Georgia"/>
          <w:color w:val="000000"/>
        </w:rPr>
        <w:t>The originating paper for the three-tenet (distributive, procedural, recognition) energy justice framework. Cite alongside Jenkins et al. (2016) to demonstrate command of the field's genealogy.</w:t>
      </w:r>
    </w:p>
    <w:p w14:paraId="12F4FC91" w14:textId="77777777" w:rsidR="00BA780F" w:rsidRDefault="00000000">
      <w:pPr>
        <w:numPr>
          <w:ilvl w:val="0"/>
          <w:numId w:val="28"/>
        </w:numPr>
        <w:spacing w:before="105" w:after="105" w:line="360" w:lineRule="auto"/>
      </w:pPr>
      <w:r>
        <w:rPr>
          <w:rFonts w:eastAsia="Georgia" w:hAnsi="Georgia" w:cs="Georgia"/>
          <w:b/>
          <w:color w:val="000000"/>
        </w:rPr>
        <w:t>Tag:</w:t>
      </w:r>
      <w:r>
        <w:rPr>
          <w:rFonts w:eastAsia="Georgia" w:hAnsi="Georgia" w:cs="Georgia"/>
          <w:color w:val="000000"/>
        </w:rPr>
        <w:t xml:space="preserve"> Energy justice.</w:t>
      </w:r>
    </w:p>
    <w:p w14:paraId="5B8A0278" w14:textId="77777777" w:rsidR="00BA780F" w:rsidRDefault="00000000">
      <w:pPr>
        <w:spacing w:after="210" w:line="360" w:lineRule="auto"/>
      </w:pPr>
      <w:r>
        <w:rPr>
          <w:rFonts w:eastAsia="Georgia" w:hAnsi="Georgia" w:cs="Georgia"/>
          <w:b/>
          <w:color w:val="000000"/>
        </w:rPr>
        <w:t>B20. Jenkins, K., McCauley, D., Heffron, R., Stephan, H., &amp; Rehner, R. (2016).</w:t>
      </w:r>
      <w:r>
        <w:rPr>
          <w:rFonts w:eastAsia="Georgia" w:hAnsi="Georgia" w:cs="Georgia"/>
          <w:color w:val="000000"/>
        </w:rPr>
        <w:t xml:space="preserve"> Energy justice: A conceptual review. </w:t>
      </w:r>
      <w:r>
        <w:rPr>
          <w:rFonts w:eastAsia="Georgia" w:hAnsi="Georgia" w:cs="Georgia"/>
          <w:i/>
          <w:color w:val="000000"/>
        </w:rPr>
        <w:t>Energy Research &amp; Social Science</w:t>
      </w:r>
      <w:r>
        <w:rPr>
          <w:rFonts w:eastAsia="Georgia" w:hAnsi="Georgia" w:cs="Georgia"/>
          <w:color w:val="000000"/>
        </w:rPr>
        <w:t xml:space="preserve">, </w:t>
      </w:r>
      <w:r>
        <w:rPr>
          <w:rFonts w:eastAsia="Georgia" w:hAnsi="Georgia" w:cs="Georgia"/>
          <w:i/>
          <w:color w:val="000000"/>
        </w:rPr>
        <w:t>11</w:t>
      </w:r>
      <w:r>
        <w:rPr>
          <w:rFonts w:eastAsia="Georgia" w:hAnsi="Georgia" w:cs="Georgia"/>
          <w:color w:val="000000"/>
        </w:rPr>
        <w:t xml:space="preserve">, 174–182. </w:t>
      </w:r>
      <w:hyperlink r:id="rId87">
        <w:r>
          <w:rPr>
            <w:rFonts w:ascii="helvetica neue" w:eastAsia="helvetica neue" w:hAnsi="helvetica neue" w:cs="helvetica neue"/>
            <w:u w:val="single"/>
          </w:rPr>
          <w:t>https://doi.org/10.1016/j.erss.2015.10.004</w:t>
        </w:r>
      </w:hyperlink>
    </w:p>
    <w:p w14:paraId="588D8D7C" w14:textId="77777777" w:rsidR="00BA780F" w:rsidRDefault="00000000">
      <w:pPr>
        <w:numPr>
          <w:ilvl w:val="0"/>
          <w:numId w:val="29"/>
        </w:numPr>
        <w:spacing w:before="105" w:after="105" w:line="360" w:lineRule="auto"/>
      </w:pPr>
      <w:r>
        <w:rPr>
          <w:rFonts w:eastAsia="Georgia" w:hAnsi="Georgia" w:cs="Georgia"/>
          <w:color w:val="000000"/>
        </w:rPr>
        <w:t xml:space="preserve">The most cited contemporary statement of the three-tenet framework. Definitional anchor for the manuscript's justice vocabulary and a model of how to articulate energy justice in </w:t>
      </w:r>
      <w:r>
        <w:rPr>
          <w:rFonts w:eastAsia="Georgia" w:hAnsi="Georgia" w:cs="Georgia"/>
          <w:i/>
          <w:color w:val="000000"/>
        </w:rPr>
        <w:t>ERSS</w:t>
      </w:r>
      <w:r>
        <w:rPr>
          <w:rFonts w:eastAsia="Georgia" w:hAnsi="Georgia" w:cs="Georgia"/>
          <w:color w:val="000000"/>
        </w:rPr>
        <w:t xml:space="preserve"> itself.</w:t>
      </w:r>
    </w:p>
    <w:p w14:paraId="4979AA5C" w14:textId="77777777" w:rsidR="00BA780F" w:rsidRDefault="00000000">
      <w:pPr>
        <w:numPr>
          <w:ilvl w:val="0"/>
          <w:numId w:val="29"/>
        </w:numPr>
        <w:spacing w:before="105" w:after="105" w:line="360" w:lineRule="auto"/>
      </w:pPr>
      <w:r>
        <w:rPr>
          <w:rFonts w:eastAsia="Georgia" w:hAnsi="Georgia" w:cs="Georgia"/>
          <w:b/>
          <w:color w:val="000000"/>
        </w:rPr>
        <w:t>Tag:</w:t>
      </w:r>
      <w:r>
        <w:rPr>
          <w:rFonts w:eastAsia="Georgia" w:hAnsi="Georgia" w:cs="Georgia"/>
          <w:color w:val="000000"/>
        </w:rPr>
        <w:t xml:space="preserve"> Energy justice; framework.</w:t>
      </w:r>
    </w:p>
    <w:p w14:paraId="5B895CDE" w14:textId="77777777" w:rsidR="00BA780F" w:rsidRDefault="00000000">
      <w:pPr>
        <w:spacing w:after="210" w:line="360" w:lineRule="auto"/>
      </w:pPr>
      <w:r>
        <w:rPr>
          <w:rFonts w:eastAsia="Georgia" w:hAnsi="Georgia" w:cs="Georgia"/>
          <w:b/>
          <w:color w:val="000000"/>
        </w:rPr>
        <w:t>B21. Sovacool, B. K., &amp; Dworkin, M. H. (2015).</w:t>
      </w:r>
      <w:r>
        <w:rPr>
          <w:rFonts w:eastAsia="Georgia" w:hAnsi="Georgia" w:cs="Georgia"/>
          <w:color w:val="000000"/>
        </w:rPr>
        <w:t xml:space="preserve"> Energy justice: Conceptual insights and practical applications. </w:t>
      </w:r>
      <w:r>
        <w:rPr>
          <w:rFonts w:eastAsia="Georgia" w:hAnsi="Georgia" w:cs="Georgia"/>
          <w:i/>
          <w:color w:val="000000"/>
        </w:rPr>
        <w:t>Applied Energy</w:t>
      </w:r>
      <w:r>
        <w:rPr>
          <w:rFonts w:eastAsia="Georgia" w:hAnsi="Georgia" w:cs="Georgia"/>
          <w:color w:val="000000"/>
        </w:rPr>
        <w:t xml:space="preserve">, </w:t>
      </w:r>
      <w:r>
        <w:rPr>
          <w:rFonts w:eastAsia="Georgia" w:hAnsi="Georgia" w:cs="Georgia"/>
          <w:i/>
          <w:color w:val="000000"/>
        </w:rPr>
        <w:t>142</w:t>
      </w:r>
      <w:r>
        <w:rPr>
          <w:rFonts w:eastAsia="Georgia" w:hAnsi="Georgia" w:cs="Georgia"/>
          <w:color w:val="000000"/>
        </w:rPr>
        <w:t xml:space="preserve">, 435–444. </w:t>
      </w:r>
      <w:hyperlink r:id="rId88">
        <w:r>
          <w:rPr>
            <w:rFonts w:ascii="helvetica neue" w:eastAsia="helvetica neue" w:hAnsi="helvetica neue" w:cs="helvetica neue"/>
            <w:u w:val="single"/>
          </w:rPr>
          <w:t>https://doi.org/10.1016/j.apenergy.2015.01.002</w:t>
        </w:r>
      </w:hyperlink>
    </w:p>
    <w:p w14:paraId="3FBC9B7F" w14:textId="77777777" w:rsidR="00BA780F" w:rsidRDefault="00000000">
      <w:pPr>
        <w:numPr>
          <w:ilvl w:val="0"/>
          <w:numId w:val="30"/>
        </w:numPr>
        <w:spacing w:before="105" w:after="105" w:line="360" w:lineRule="auto"/>
      </w:pPr>
      <w:r>
        <w:rPr>
          <w:rFonts w:eastAsia="Georgia" w:hAnsi="Georgia" w:cs="Georgia"/>
          <w:color w:val="000000"/>
        </w:rPr>
        <w:t>Eight-principle energy justice framework (availability, affordability, due process, transparency, accountability, sustainability, equity, responsibility). Provides operationalizable benchmarks for evaluating CCS governance practice.</w:t>
      </w:r>
    </w:p>
    <w:p w14:paraId="41A631BA" w14:textId="77777777" w:rsidR="00BA780F" w:rsidRDefault="00000000">
      <w:pPr>
        <w:numPr>
          <w:ilvl w:val="0"/>
          <w:numId w:val="30"/>
        </w:numPr>
        <w:spacing w:before="105" w:after="105" w:line="360" w:lineRule="auto"/>
      </w:pPr>
      <w:r>
        <w:rPr>
          <w:rFonts w:eastAsia="Georgia" w:hAnsi="Georgia" w:cs="Georgia"/>
          <w:b/>
          <w:color w:val="000000"/>
        </w:rPr>
        <w:t>Tag:</w:t>
      </w:r>
      <w:r>
        <w:rPr>
          <w:rFonts w:eastAsia="Georgia" w:hAnsi="Georgia" w:cs="Georgia"/>
          <w:color w:val="000000"/>
        </w:rPr>
        <w:t xml:space="preserve"> Energy justice; framework.</w:t>
      </w:r>
    </w:p>
    <w:p w14:paraId="1FCE7734" w14:textId="77777777" w:rsidR="00BA780F" w:rsidRDefault="00000000">
      <w:pPr>
        <w:spacing w:after="210" w:line="360" w:lineRule="auto"/>
      </w:pPr>
      <w:r>
        <w:rPr>
          <w:rFonts w:eastAsia="Georgia" w:hAnsi="Georgia" w:cs="Georgia"/>
          <w:b/>
          <w:color w:val="000000"/>
        </w:rPr>
        <w:t>B22. Sovacool, B. K., Heffron, R. J., McCauley, D., &amp; Goldthau, A. (2016).</w:t>
      </w:r>
      <w:r>
        <w:rPr>
          <w:rFonts w:eastAsia="Georgia" w:hAnsi="Georgia" w:cs="Georgia"/>
          <w:color w:val="000000"/>
        </w:rPr>
        <w:t xml:space="preserve"> Energy decisions reframed as justice and ethical concerns. </w:t>
      </w:r>
      <w:r>
        <w:rPr>
          <w:rFonts w:eastAsia="Georgia" w:hAnsi="Georgia" w:cs="Georgia"/>
          <w:i/>
          <w:color w:val="000000"/>
        </w:rPr>
        <w:t>Nature Energy</w:t>
      </w:r>
      <w:r>
        <w:rPr>
          <w:rFonts w:eastAsia="Georgia" w:hAnsi="Georgia" w:cs="Georgia"/>
          <w:color w:val="000000"/>
        </w:rPr>
        <w:t xml:space="preserve">, </w:t>
      </w:r>
      <w:r>
        <w:rPr>
          <w:rFonts w:eastAsia="Georgia" w:hAnsi="Georgia" w:cs="Georgia"/>
          <w:i/>
          <w:color w:val="000000"/>
        </w:rPr>
        <w:t>1</w:t>
      </w:r>
      <w:r>
        <w:rPr>
          <w:rFonts w:eastAsia="Georgia" w:hAnsi="Georgia" w:cs="Georgia"/>
          <w:color w:val="000000"/>
        </w:rPr>
        <w:t xml:space="preserve">(5), 16024. </w:t>
      </w:r>
      <w:hyperlink r:id="rId89">
        <w:r>
          <w:rPr>
            <w:rFonts w:ascii="helvetica neue" w:eastAsia="helvetica neue" w:hAnsi="helvetica neue" w:cs="helvetica neue"/>
            <w:u w:val="single"/>
          </w:rPr>
          <w:t>https://doi.org/10.1038/nenergy.2016.24</w:t>
        </w:r>
      </w:hyperlink>
    </w:p>
    <w:p w14:paraId="4EBFB612" w14:textId="77777777" w:rsidR="00BA780F" w:rsidRDefault="00000000">
      <w:pPr>
        <w:numPr>
          <w:ilvl w:val="0"/>
          <w:numId w:val="31"/>
        </w:numPr>
        <w:spacing w:before="105" w:after="105" w:line="360" w:lineRule="auto"/>
      </w:pPr>
      <w:r>
        <w:rPr>
          <w:rFonts w:eastAsia="Georgia" w:hAnsi="Georgia" w:cs="Georgia"/>
          <w:color w:val="000000"/>
        </w:rPr>
        <w:t xml:space="preserve">High-visibility </w:t>
      </w:r>
      <w:r>
        <w:rPr>
          <w:rFonts w:eastAsia="Georgia" w:hAnsi="Georgia" w:cs="Georgia"/>
          <w:i/>
          <w:color w:val="000000"/>
        </w:rPr>
        <w:t>Nature Energy</w:t>
      </w:r>
      <w:r>
        <w:rPr>
          <w:rFonts w:eastAsia="Georgia" w:hAnsi="Georgia" w:cs="Georgia"/>
          <w:color w:val="000000"/>
        </w:rPr>
        <w:t xml:space="preserve"> statement: energy decisions are ethical, not value-neutral; due process and transparency are non-negotiable. Useful for legitimating the justice frame to technically oriented reviewers.</w:t>
      </w:r>
    </w:p>
    <w:p w14:paraId="2BB8A283" w14:textId="77777777" w:rsidR="00BA780F" w:rsidRDefault="00000000">
      <w:pPr>
        <w:numPr>
          <w:ilvl w:val="0"/>
          <w:numId w:val="31"/>
        </w:numPr>
        <w:spacing w:before="105" w:after="105" w:line="360" w:lineRule="auto"/>
      </w:pPr>
      <w:r>
        <w:rPr>
          <w:rFonts w:eastAsia="Georgia" w:hAnsi="Georgia" w:cs="Georgia"/>
          <w:b/>
          <w:color w:val="000000"/>
        </w:rPr>
        <w:t>Tag:</w:t>
      </w:r>
      <w:r>
        <w:rPr>
          <w:rFonts w:eastAsia="Georgia" w:hAnsi="Georgia" w:cs="Georgia"/>
          <w:color w:val="000000"/>
        </w:rPr>
        <w:t xml:space="preserve"> Energy justice.</w:t>
      </w:r>
    </w:p>
    <w:p w14:paraId="653F4A7D" w14:textId="77777777" w:rsidR="00BA780F" w:rsidRDefault="00000000">
      <w:pPr>
        <w:spacing w:after="210" w:line="360" w:lineRule="auto"/>
      </w:pPr>
      <w:r>
        <w:rPr>
          <w:rFonts w:eastAsia="Georgia" w:hAnsi="Georgia" w:cs="Georgia"/>
          <w:b/>
          <w:color w:val="000000"/>
        </w:rPr>
        <w:t>B23. Jenkins, K., Sovacool, B. K., &amp; McCauley, D. (2018).</w:t>
      </w:r>
      <w:r>
        <w:rPr>
          <w:rFonts w:eastAsia="Georgia" w:hAnsi="Georgia" w:cs="Georgia"/>
          <w:color w:val="000000"/>
        </w:rPr>
        <w:t xml:space="preserve"> Humanizing sociotechnical transitions through energy justice: An ethical framework for global transformative change. </w:t>
      </w:r>
      <w:r>
        <w:rPr>
          <w:rFonts w:eastAsia="Georgia" w:hAnsi="Georgia" w:cs="Georgia"/>
          <w:i/>
          <w:color w:val="000000"/>
        </w:rPr>
        <w:t>Energy Policy</w:t>
      </w:r>
      <w:r>
        <w:rPr>
          <w:rFonts w:eastAsia="Georgia" w:hAnsi="Georgia" w:cs="Georgia"/>
          <w:color w:val="000000"/>
        </w:rPr>
        <w:t xml:space="preserve">, </w:t>
      </w:r>
      <w:r>
        <w:rPr>
          <w:rFonts w:eastAsia="Georgia" w:hAnsi="Georgia" w:cs="Georgia"/>
          <w:i/>
          <w:color w:val="000000"/>
        </w:rPr>
        <w:t>117</w:t>
      </w:r>
      <w:r>
        <w:rPr>
          <w:rFonts w:eastAsia="Georgia" w:hAnsi="Georgia" w:cs="Georgia"/>
          <w:color w:val="000000"/>
        </w:rPr>
        <w:t xml:space="preserve">, 66–74. </w:t>
      </w:r>
      <w:hyperlink r:id="rId90">
        <w:r>
          <w:rPr>
            <w:rFonts w:ascii="helvetica neue" w:eastAsia="helvetica neue" w:hAnsi="helvetica neue" w:cs="helvetica neue"/>
            <w:u w:val="single"/>
          </w:rPr>
          <w:t>https://doi.org/10.1016/j.enpol.2018.02.036</w:t>
        </w:r>
      </w:hyperlink>
    </w:p>
    <w:p w14:paraId="48198184" w14:textId="77777777" w:rsidR="00BA780F" w:rsidRDefault="00000000">
      <w:pPr>
        <w:numPr>
          <w:ilvl w:val="0"/>
          <w:numId w:val="32"/>
        </w:numPr>
        <w:spacing w:before="105" w:after="105" w:line="360" w:lineRule="auto"/>
      </w:pPr>
      <w:r>
        <w:rPr>
          <w:rFonts w:eastAsia="Georgia" w:hAnsi="Georgia" w:cs="Georgia"/>
          <w:color w:val="000000"/>
        </w:rPr>
        <w:t>Applies energy justice specifically to sociotechnical transitions. Transition framing is essential because CCS is increasingly positioned as a transition technology — yet ethically and procedurally treated as a continuity technology.</w:t>
      </w:r>
    </w:p>
    <w:p w14:paraId="158A7235" w14:textId="77777777" w:rsidR="00BA780F" w:rsidRDefault="00000000">
      <w:pPr>
        <w:numPr>
          <w:ilvl w:val="0"/>
          <w:numId w:val="32"/>
        </w:numPr>
        <w:spacing w:before="105" w:after="105" w:line="360" w:lineRule="auto"/>
      </w:pPr>
      <w:r>
        <w:rPr>
          <w:rFonts w:eastAsia="Georgia" w:hAnsi="Georgia" w:cs="Georgia"/>
          <w:b/>
          <w:color w:val="000000"/>
        </w:rPr>
        <w:t>Tag:</w:t>
      </w:r>
      <w:r>
        <w:rPr>
          <w:rFonts w:eastAsia="Georgia" w:hAnsi="Georgia" w:cs="Georgia"/>
          <w:color w:val="000000"/>
        </w:rPr>
        <w:t xml:space="preserve"> Energy justice; transitions.</w:t>
      </w:r>
    </w:p>
    <w:p w14:paraId="7B4C1924" w14:textId="77777777" w:rsidR="00BA780F" w:rsidRDefault="00000000">
      <w:pPr>
        <w:spacing w:after="210" w:line="360" w:lineRule="auto"/>
      </w:pPr>
      <w:r>
        <w:rPr>
          <w:rFonts w:eastAsia="Georgia" w:hAnsi="Georgia" w:cs="Georgia"/>
          <w:b/>
          <w:color w:val="000000"/>
        </w:rPr>
        <w:t>B24. McCauley, D., Ramasar, V., Heffron, R. J., Sovacool, B. K., Mebratu, D., &amp; Mundaca, L. (2019).</w:t>
      </w:r>
      <w:r>
        <w:rPr>
          <w:rFonts w:eastAsia="Georgia" w:hAnsi="Georgia" w:cs="Georgia"/>
          <w:color w:val="000000"/>
        </w:rPr>
        <w:t xml:space="preserve"> Energy justice in the transition to low carbon energy systems: Exploring key themes in interdisciplinary research. </w:t>
      </w:r>
      <w:r>
        <w:rPr>
          <w:rFonts w:eastAsia="Georgia" w:hAnsi="Georgia" w:cs="Georgia"/>
          <w:i/>
          <w:color w:val="000000"/>
        </w:rPr>
        <w:t>Applied Energy</w:t>
      </w:r>
      <w:r>
        <w:rPr>
          <w:rFonts w:eastAsia="Georgia" w:hAnsi="Georgia" w:cs="Georgia"/>
          <w:color w:val="000000"/>
        </w:rPr>
        <w:t xml:space="preserve">, </w:t>
      </w:r>
      <w:r>
        <w:rPr>
          <w:rFonts w:eastAsia="Georgia" w:hAnsi="Georgia" w:cs="Georgia"/>
          <w:i/>
          <w:color w:val="000000"/>
        </w:rPr>
        <w:t>233–234</w:t>
      </w:r>
      <w:r>
        <w:rPr>
          <w:rFonts w:eastAsia="Georgia" w:hAnsi="Georgia" w:cs="Georgia"/>
          <w:color w:val="000000"/>
        </w:rPr>
        <w:t xml:space="preserve">, 916–921. </w:t>
      </w:r>
      <w:hyperlink r:id="rId91">
        <w:r>
          <w:rPr>
            <w:rFonts w:ascii="helvetica neue" w:eastAsia="helvetica neue" w:hAnsi="helvetica neue" w:cs="helvetica neue"/>
            <w:u w:val="single"/>
          </w:rPr>
          <w:t>https://doi.org/10.1016/j.apenergy.2018.10.005</w:t>
        </w:r>
      </w:hyperlink>
    </w:p>
    <w:p w14:paraId="316D7BA1" w14:textId="77777777" w:rsidR="00BA780F" w:rsidRDefault="00000000">
      <w:pPr>
        <w:numPr>
          <w:ilvl w:val="0"/>
          <w:numId w:val="33"/>
        </w:numPr>
        <w:spacing w:before="105" w:after="105" w:line="360" w:lineRule="auto"/>
      </w:pPr>
      <w:r>
        <w:rPr>
          <w:rFonts w:eastAsia="Georgia" w:hAnsi="Georgia" w:cs="Georgia"/>
          <w:color w:val="000000"/>
        </w:rPr>
        <w:t>Special-issue introduction synthesizing low-carbon transition justice, including non-Western framings. Opens conceptual room for Indigenous governance frameworks in the manuscript.</w:t>
      </w:r>
    </w:p>
    <w:p w14:paraId="502CAB93" w14:textId="77777777" w:rsidR="00BA780F" w:rsidRDefault="00000000">
      <w:pPr>
        <w:numPr>
          <w:ilvl w:val="0"/>
          <w:numId w:val="33"/>
        </w:numPr>
        <w:spacing w:before="105" w:after="105" w:line="360" w:lineRule="auto"/>
      </w:pPr>
      <w:r>
        <w:rPr>
          <w:rFonts w:eastAsia="Georgia" w:hAnsi="Georgia" w:cs="Georgia"/>
          <w:b/>
          <w:color w:val="000000"/>
        </w:rPr>
        <w:t>Tag:</w:t>
      </w:r>
      <w:r>
        <w:rPr>
          <w:rFonts w:eastAsia="Georgia" w:hAnsi="Georgia" w:cs="Georgia"/>
          <w:color w:val="000000"/>
        </w:rPr>
        <w:t xml:space="preserve"> Energy justice; transitions.</w:t>
      </w:r>
    </w:p>
    <w:p w14:paraId="5CBF094E" w14:textId="77777777" w:rsidR="00BA780F" w:rsidRDefault="00000000">
      <w:pPr>
        <w:spacing w:after="210" w:line="360" w:lineRule="auto"/>
      </w:pPr>
      <w:r>
        <w:rPr>
          <w:rFonts w:eastAsia="Georgia" w:hAnsi="Georgia" w:cs="Georgia"/>
          <w:b/>
          <w:color w:val="000000"/>
        </w:rPr>
        <w:t>B25. Walker, G., &amp; Day, R. (2012).</w:t>
      </w:r>
      <w:r>
        <w:rPr>
          <w:rFonts w:eastAsia="Georgia" w:hAnsi="Georgia" w:cs="Georgia"/>
          <w:color w:val="000000"/>
        </w:rPr>
        <w:t xml:space="preserve"> Fuel poverty as injustice: Integrating distribution, recognition and procedure in the struggle for affordable warmth. </w:t>
      </w:r>
      <w:r>
        <w:rPr>
          <w:rFonts w:eastAsia="Georgia" w:hAnsi="Georgia" w:cs="Georgia"/>
          <w:i/>
          <w:color w:val="000000"/>
        </w:rPr>
        <w:t>Energy Policy</w:t>
      </w:r>
      <w:r>
        <w:rPr>
          <w:rFonts w:eastAsia="Georgia" w:hAnsi="Georgia" w:cs="Georgia"/>
          <w:color w:val="000000"/>
        </w:rPr>
        <w:t xml:space="preserve">, </w:t>
      </w:r>
      <w:r>
        <w:rPr>
          <w:rFonts w:eastAsia="Georgia" w:hAnsi="Georgia" w:cs="Georgia"/>
          <w:i/>
          <w:color w:val="000000"/>
        </w:rPr>
        <w:t>49</w:t>
      </w:r>
      <w:r>
        <w:rPr>
          <w:rFonts w:eastAsia="Georgia" w:hAnsi="Georgia" w:cs="Georgia"/>
          <w:color w:val="000000"/>
        </w:rPr>
        <w:t xml:space="preserve">, 69–75. </w:t>
      </w:r>
      <w:hyperlink r:id="rId92">
        <w:r>
          <w:rPr>
            <w:rFonts w:ascii="helvetica neue" w:eastAsia="helvetica neue" w:hAnsi="helvetica neue" w:cs="helvetica neue"/>
            <w:u w:val="single"/>
          </w:rPr>
          <w:t>https://doi.org/10.1016/j.enpol.2012.01.044</w:t>
        </w:r>
      </w:hyperlink>
    </w:p>
    <w:p w14:paraId="27D4EC8C" w14:textId="77777777" w:rsidR="00BA780F" w:rsidRDefault="00000000">
      <w:pPr>
        <w:numPr>
          <w:ilvl w:val="0"/>
          <w:numId w:val="34"/>
        </w:numPr>
        <w:spacing w:before="105" w:after="105" w:line="360" w:lineRule="auto"/>
      </w:pPr>
      <w:r>
        <w:rPr>
          <w:rFonts w:eastAsia="Georgia" w:hAnsi="Georgia" w:cs="Georgia"/>
          <w:color w:val="000000"/>
        </w:rPr>
        <w:t>Model of how to integrate all three justice tenets in a single empirical case; argues recognition precedes procedure precedes distribution. Methodological template for your multi-tenet analysis of CCS governance.</w:t>
      </w:r>
    </w:p>
    <w:p w14:paraId="2E839053" w14:textId="77777777" w:rsidR="00BA780F" w:rsidRDefault="00000000">
      <w:pPr>
        <w:numPr>
          <w:ilvl w:val="0"/>
          <w:numId w:val="34"/>
        </w:numPr>
        <w:spacing w:before="105" w:after="105" w:line="360" w:lineRule="auto"/>
      </w:pPr>
      <w:r>
        <w:rPr>
          <w:rFonts w:eastAsia="Georgia" w:hAnsi="Georgia" w:cs="Georgia"/>
          <w:b/>
          <w:color w:val="000000"/>
        </w:rPr>
        <w:t>Tag:</w:t>
      </w:r>
      <w:r>
        <w:rPr>
          <w:rFonts w:eastAsia="Georgia" w:hAnsi="Georgia" w:cs="Georgia"/>
          <w:color w:val="000000"/>
        </w:rPr>
        <w:t xml:space="preserve"> Energy justice; recognition.</w:t>
      </w:r>
    </w:p>
    <w:p w14:paraId="08449559" w14:textId="77777777" w:rsidR="00BA780F" w:rsidRDefault="00000000">
      <w:pPr>
        <w:spacing w:after="210" w:line="360" w:lineRule="auto"/>
      </w:pPr>
      <w:r>
        <w:rPr>
          <w:rFonts w:eastAsia="Georgia" w:hAnsi="Georgia" w:cs="Georgia"/>
          <w:b/>
          <w:color w:val="000000"/>
        </w:rPr>
        <w:t>B26. Tyler, T. R. (2003).</w:t>
      </w:r>
      <w:r>
        <w:rPr>
          <w:rFonts w:eastAsia="Georgia" w:hAnsi="Georgia" w:cs="Georgia"/>
          <w:color w:val="000000"/>
        </w:rPr>
        <w:t xml:space="preserve"> Procedural justice, legitimacy, and the effective rule of law. </w:t>
      </w:r>
      <w:r>
        <w:rPr>
          <w:rFonts w:eastAsia="Georgia" w:hAnsi="Georgia" w:cs="Georgia"/>
          <w:i/>
          <w:color w:val="000000"/>
        </w:rPr>
        <w:t>Crime and Justice</w:t>
      </w:r>
      <w:r>
        <w:rPr>
          <w:rFonts w:eastAsia="Georgia" w:hAnsi="Georgia" w:cs="Georgia"/>
          <w:color w:val="000000"/>
        </w:rPr>
        <w:t xml:space="preserve">, </w:t>
      </w:r>
      <w:r>
        <w:rPr>
          <w:rFonts w:eastAsia="Georgia" w:hAnsi="Georgia" w:cs="Georgia"/>
          <w:i/>
          <w:color w:val="000000"/>
        </w:rPr>
        <w:t>30</w:t>
      </w:r>
      <w:r>
        <w:rPr>
          <w:rFonts w:eastAsia="Georgia" w:hAnsi="Georgia" w:cs="Georgia"/>
          <w:color w:val="000000"/>
        </w:rPr>
        <w:t xml:space="preserve">, 283–357. </w:t>
      </w:r>
      <w:hyperlink r:id="rId93">
        <w:r>
          <w:rPr>
            <w:rFonts w:ascii="helvetica neue" w:eastAsia="helvetica neue" w:hAnsi="helvetica neue" w:cs="helvetica neue"/>
            <w:u w:val="single"/>
          </w:rPr>
          <w:t>https://doi.org/10.1086/652233</w:t>
        </w:r>
      </w:hyperlink>
    </w:p>
    <w:p w14:paraId="4A223EF7" w14:textId="77777777" w:rsidR="00BA780F" w:rsidRDefault="00000000">
      <w:pPr>
        <w:numPr>
          <w:ilvl w:val="0"/>
          <w:numId w:val="35"/>
        </w:numPr>
        <w:spacing w:before="105" w:after="105" w:line="360" w:lineRule="auto"/>
      </w:pPr>
      <w:r>
        <w:rPr>
          <w:rFonts w:eastAsia="Georgia" w:hAnsi="Georgia" w:cs="Georgia"/>
          <w:color w:val="000000"/>
        </w:rPr>
        <w:t>Foundational treatise establishing the four procedural justice criteria — voice, neutrality, trustworthiness, dignitary treatment — and process-over-outcomes legitimacy. The bedrock theory for the manuscript's central causal pathway.</w:t>
      </w:r>
    </w:p>
    <w:p w14:paraId="1ED65616" w14:textId="77777777" w:rsidR="00BA780F" w:rsidRDefault="00000000">
      <w:pPr>
        <w:numPr>
          <w:ilvl w:val="0"/>
          <w:numId w:val="35"/>
        </w:numPr>
        <w:spacing w:before="105" w:after="105" w:line="360" w:lineRule="auto"/>
      </w:pPr>
      <w:r>
        <w:rPr>
          <w:rFonts w:eastAsia="Georgia" w:hAnsi="Georgia" w:cs="Georgia"/>
          <w:b/>
          <w:color w:val="000000"/>
        </w:rPr>
        <w:t>Tag:</w:t>
      </w:r>
      <w:r>
        <w:rPr>
          <w:rFonts w:eastAsia="Georgia" w:hAnsi="Georgia" w:cs="Georgia"/>
          <w:color w:val="000000"/>
        </w:rPr>
        <w:t xml:space="preserve"> Procedural justice (theory).</w:t>
      </w:r>
    </w:p>
    <w:p w14:paraId="1FB140FE" w14:textId="77777777" w:rsidR="00BA780F" w:rsidRDefault="00000000">
      <w:pPr>
        <w:spacing w:after="210" w:line="360" w:lineRule="auto"/>
      </w:pPr>
      <w:r>
        <w:rPr>
          <w:rFonts w:eastAsia="Georgia" w:hAnsi="Georgia" w:cs="Georgia"/>
          <w:b/>
          <w:color w:val="000000"/>
        </w:rPr>
        <w:t>B27. Schlosberg, D. (2007).</w:t>
      </w:r>
      <w:r>
        <w:rPr>
          <w:rFonts w:eastAsia="Georgia" w:hAnsi="Georgia" w:cs="Georgia"/>
          <w:color w:val="000000"/>
        </w:rPr>
        <w:t xml:space="preserve"> </w:t>
      </w:r>
      <w:r>
        <w:rPr>
          <w:rFonts w:eastAsia="Georgia" w:hAnsi="Georgia" w:cs="Georgia"/>
          <w:i/>
          <w:color w:val="000000"/>
        </w:rPr>
        <w:t>Defining environmental justice: Theories, movements, and nature</w:t>
      </w:r>
      <w:r>
        <w:rPr>
          <w:rFonts w:eastAsia="Georgia" w:hAnsi="Georgia" w:cs="Georgia"/>
          <w:color w:val="000000"/>
        </w:rPr>
        <w:t xml:space="preserve">. Oxford University Press. </w:t>
      </w:r>
      <w:hyperlink r:id="rId94">
        <w:r>
          <w:rPr>
            <w:rFonts w:ascii="helvetica neue" w:eastAsia="helvetica neue" w:hAnsi="helvetica neue" w:cs="helvetica neue"/>
            <w:u w:val="single"/>
          </w:rPr>
          <w:t>https://doi.org/10.1093/acprof:oso/9780199286294.001.0001</w:t>
        </w:r>
      </w:hyperlink>
    </w:p>
    <w:p w14:paraId="6E17102F" w14:textId="77777777" w:rsidR="00BA780F" w:rsidRDefault="00000000">
      <w:pPr>
        <w:numPr>
          <w:ilvl w:val="0"/>
          <w:numId w:val="36"/>
        </w:numPr>
        <w:spacing w:before="105" w:after="105" w:line="360" w:lineRule="auto"/>
      </w:pPr>
      <w:r>
        <w:rPr>
          <w:rFonts w:eastAsia="Georgia" w:hAnsi="Georgia" w:cs="Georgia"/>
          <w:color w:val="000000"/>
        </w:rPr>
        <w:t>Definitive philosophical synthesis of distributive, recognition, and capabilities approaches to environmental justice. Provides the philosophical grounding for arguing that recognition is a prerequisite for procedural and distributive justice — central to your Indigenous-rights argument.</w:t>
      </w:r>
    </w:p>
    <w:p w14:paraId="05D4D8F5" w14:textId="77777777" w:rsidR="00BA780F" w:rsidRDefault="00000000">
      <w:pPr>
        <w:numPr>
          <w:ilvl w:val="0"/>
          <w:numId w:val="36"/>
        </w:numPr>
        <w:spacing w:before="105" w:after="105" w:line="360" w:lineRule="auto"/>
      </w:pPr>
      <w:r>
        <w:rPr>
          <w:rFonts w:eastAsia="Georgia" w:hAnsi="Georgia" w:cs="Georgia"/>
          <w:b/>
          <w:color w:val="000000"/>
        </w:rPr>
        <w:t>Tag:</w:t>
      </w:r>
      <w:r>
        <w:rPr>
          <w:rFonts w:eastAsia="Georgia" w:hAnsi="Georgia" w:cs="Georgia"/>
          <w:color w:val="000000"/>
        </w:rPr>
        <w:t xml:space="preserve"> Recognition justice (theory).</w:t>
      </w:r>
    </w:p>
    <w:p w14:paraId="5193E879" w14:textId="77777777" w:rsidR="00BA780F" w:rsidRDefault="00000000">
      <w:pPr>
        <w:spacing w:after="210" w:line="360" w:lineRule="auto"/>
      </w:pPr>
      <w:r>
        <w:rPr>
          <w:rFonts w:eastAsia="Georgia" w:hAnsi="Georgia" w:cs="Georgia"/>
          <w:b/>
          <w:color w:val="000000"/>
        </w:rPr>
        <w:t>B28. Dowd, A.-M., &amp; James, M. (2014).</w:t>
      </w:r>
      <w:r>
        <w:rPr>
          <w:rFonts w:eastAsia="Georgia" w:hAnsi="Georgia" w:cs="Georgia"/>
          <w:color w:val="000000"/>
        </w:rPr>
        <w:t xml:space="preserve"> A social licence for carbon dioxide capture and storage: How engineers and managers describe community relations. </w:t>
      </w:r>
      <w:r>
        <w:rPr>
          <w:rFonts w:eastAsia="Georgia" w:hAnsi="Georgia" w:cs="Georgia"/>
          <w:i/>
          <w:color w:val="000000"/>
        </w:rPr>
        <w:t>Social Epistemology</w:t>
      </w:r>
      <w:r>
        <w:rPr>
          <w:rFonts w:eastAsia="Georgia" w:hAnsi="Georgia" w:cs="Georgia"/>
          <w:color w:val="000000"/>
        </w:rPr>
        <w:t xml:space="preserve">, </w:t>
      </w:r>
      <w:r>
        <w:rPr>
          <w:rFonts w:eastAsia="Georgia" w:hAnsi="Georgia" w:cs="Georgia"/>
          <w:i/>
          <w:color w:val="000000"/>
        </w:rPr>
        <w:t>28</w:t>
      </w:r>
      <w:r>
        <w:rPr>
          <w:rFonts w:eastAsia="Georgia" w:hAnsi="Georgia" w:cs="Georgia"/>
          <w:color w:val="000000"/>
        </w:rPr>
        <w:t xml:space="preserve">(3–4), 364–384. </w:t>
      </w:r>
      <w:hyperlink r:id="rId95">
        <w:r>
          <w:rPr>
            <w:rFonts w:ascii="helvetica neue" w:eastAsia="helvetica neue" w:hAnsi="helvetica neue" w:cs="helvetica neue"/>
            <w:u w:val="single"/>
          </w:rPr>
          <w:t>https://doi.org/10.1080/02691728.2014.922639</w:t>
        </w:r>
      </w:hyperlink>
    </w:p>
    <w:p w14:paraId="324A5003" w14:textId="77777777" w:rsidR="00BA780F" w:rsidRDefault="00000000">
      <w:pPr>
        <w:numPr>
          <w:ilvl w:val="0"/>
          <w:numId w:val="37"/>
        </w:numPr>
        <w:spacing w:before="105" w:after="105" w:line="360" w:lineRule="auto"/>
      </w:pPr>
      <w:r>
        <w:rPr>
          <w:rFonts w:eastAsia="Georgia" w:hAnsi="Georgia" w:cs="Georgia"/>
          <w:color w:val="000000"/>
        </w:rPr>
        <w:t>Interviews with CCS engineers show industry frames SLO as a communication deficit problem rather than a governance challenge. Empirical evidence that industry conceptions of "acceptance" structurally mismatch community expectations of voice and benefit-sharing.</w:t>
      </w:r>
    </w:p>
    <w:p w14:paraId="67EC45B3" w14:textId="77777777" w:rsidR="00BA780F" w:rsidRDefault="00000000">
      <w:pPr>
        <w:numPr>
          <w:ilvl w:val="0"/>
          <w:numId w:val="37"/>
        </w:numPr>
        <w:spacing w:before="105" w:after="105" w:line="360" w:lineRule="auto"/>
      </w:pPr>
      <w:r>
        <w:rPr>
          <w:rFonts w:eastAsia="Georgia" w:hAnsi="Georgia" w:cs="Georgia"/>
          <w:b/>
          <w:color w:val="000000"/>
        </w:rPr>
        <w:t>Tag:</w:t>
      </w:r>
      <w:r>
        <w:rPr>
          <w:rFonts w:eastAsia="Georgia" w:hAnsi="Georgia" w:cs="Georgia"/>
          <w:color w:val="000000"/>
        </w:rPr>
        <w:t xml:space="preserve"> CCS; social license.</w:t>
      </w:r>
    </w:p>
    <w:p w14:paraId="6E3AD039" w14:textId="77777777" w:rsidR="00BA780F" w:rsidRDefault="00000000">
      <w:pPr>
        <w:spacing w:before="315" w:after="105" w:line="360" w:lineRule="auto"/>
        <w:ind w:left="-30"/>
      </w:pPr>
      <w:bookmarkStart w:id="16" w:name="stream_4_social_license_to_operate"/>
      <w:r>
        <w:rPr>
          <w:rFonts w:eastAsia="Georgia" w:hAnsi="Georgia" w:cs="Georgia"/>
          <w:b/>
          <w:color w:val="000000"/>
          <w:sz w:val="24"/>
        </w:rPr>
        <w:t>Stream 4 — Social license to operate</w:t>
      </w:r>
      <w:bookmarkEnd w:id="16"/>
    </w:p>
    <w:p w14:paraId="6152FFA2" w14:textId="77777777" w:rsidR="00BA780F" w:rsidRDefault="00000000">
      <w:pPr>
        <w:spacing w:after="210" w:line="360" w:lineRule="auto"/>
      </w:pPr>
      <w:r>
        <w:rPr>
          <w:rFonts w:eastAsia="Georgia" w:hAnsi="Georgia" w:cs="Georgia"/>
          <w:b/>
          <w:color w:val="000000"/>
        </w:rPr>
        <w:t>B29. Prno, J., &amp; Slocombe, D. S. (2012).</w:t>
      </w:r>
      <w:r>
        <w:rPr>
          <w:rFonts w:eastAsia="Georgia" w:hAnsi="Georgia" w:cs="Georgia"/>
          <w:color w:val="000000"/>
        </w:rPr>
        <w:t xml:space="preserve"> Exploring the origins of "social license to operate" in the mining sector: Perspectives from governance and sustainability theories. </w:t>
      </w:r>
      <w:r>
        <w:rPr>
          <w:rFonts w:eastAsia="Georgia" w:hAnsi="Georgia" w:cs="Georgia"/>
          <w:i/>
          <w:color w:val="000000"/>
        </w:rPr>
        <w:t>Resources Policy</w:t>
      </w:r>
      <w:r>
        <w:rPr>
          <w:rFonts w:eastAsia="Georgia" w:hAnsi="Georgia" w:cs="Georgia"/>
          <w:color w:val="000000"/>
        </w:rPr>
        <w:t xml:space="preserve">, </w:t>
      </w:r>
      <w:r>
        <w:rPr>
          <w:rFonts w:eastAsia="Georgia" w:hAnsi="Georgia" w:cs="Georgia"/>
          <w:i/>
          <w:color w:val="000000"/>
        </w:rPr>
        <w:t>37</w:t>
      </w:r>
      <w:r>
        <w:rPr>
          <w:rFonts w:eastAsia="Georgia" w:hAnsi="Georgia" w:cs="Georgia"/>
          <w:color w:val="000000"/>
        </w:rPr>
        <w:t xml:space="preserve">(3), 346–357. </w:t>
      </w:r>
      <w:hyperlink r:id="rId96">
        <w:r>
          <w:rPr>
            <w:rFonts w:ascii="helvetica neue" w:eastAsia="helvetica neue" w:hAnsi="helvetica neue" w:cs="helvetica neue"/>
            <w:u w:val="single"/>
          </w:rPr>
          <w:t>https://doi.org/10.1016/j.resourpol.2012.04.002</w:t>
        </w:r>
      </w:hyperlink>
    </w:p>
    <w:p w14:paraId="4825DD77" w14:textId="77777777" w:rsidR="00BA780F" w:rsidRDefault="00000000">
      <w:pPr>
        <w:numPr>
          <w:ilvl w:val="0"/>
          <w:numId w:val="38"/>
        </w:numPr>
        <w:spacing w:before="105" w:after="105" w:line="360" w:lineRule="auto"/>
      </w:pPr>
      <w:r>
        <w:rPr>
          <w:rFonts w:eastAsia="Georgia" w:hAnsi="Georgia" w:cs="Georgia"/>
          <w:color w:val="000000"/>
        </w:rPr>
        <w:t>Foundational genealogy of SLO from Canadian mining; positions SLO as a multi-level governance phenomenon distinct from legal permitting. The reference for arguing that CCS permitting compliance is insufficient for legitimacy.</w:t>
      </w:r>
    </w:p>
    <w:p w14:paraId="6FAE027B" w14:textId="77777777" w:rsidR="00BA780F" w:rsidRDefault="00000000">
      <w:pPr>
        <w:numPr>
          <w:ilvl w:val="0"/>
          <w:numId w:val="38"/>
        </w:numPr>
        <w:spacing w:before="105" w:after="105" w:line="360" w:lineRule="auto"/>
      </w:pPr>
      <w:r>
        <w:rPr>
          <w:rFonts w:eastAsia="Georgia" w:hAnsi="Georgia" w:cs="Georgia"/>
          <w:b/>
          <w:color w:val="000000"/>
        </w:rPr>
        <w:t>Tag:</w:t>
      </w:r>
      <w:r>
        <w:rPr>
          <w:rFonts w:eastAsia="Georgia" w:hAnsi="Georgia" w:cs="Georgia"/>
          <w:color w:val="000000"/>
        </w:rPr>
        <w:t xml:space="preserve"> Social license.</w:t>
      </w:r>
    </w:p>
    <w:p w14:paraId="01A22A3D" w14:textId="77777777" w:rsidR="00BA780F" w:rsidRDefault="00000000">
      <w:pPr>
        <w:spacing w:after="210" w:line="360" w:lineRule="auto"/>
      </w:pPr>
      <w:r>
        <w:rPr>
          <w:rFonts w:eastAsia="Georgia" w:hAnsi="Georgia" w:cs="Georgia"/>
          <w:b/>
          <w:color w:val="000000"/>
        </w:rPr>
        <w:t>B30. Owen, J. R., &amp; Kemp, D. (2013).</w:t>
      </w:r>
      <w:r>
        <w:rPr>
          <w:rFonts w:eastAsia="Georgia" w:hAnsi="Georgia" w:cs="Georgia"/>
          <w:color w:val="000000"/>
        </w:rPr>
        <w:t xml:space="preserve"> Social licence and mining: A critical perspective. </w:t>
      </w:r>
      <w:r>
        <w:rPr>
          <w:rFonts w:eastAsia="Georgia" w:hAnsi="Georgia" w:cs="Georgia"/>
          <w:i/>
          <w:color w:val="000000"/>
        </w:rPr>
        <w:t>Resources Policy</w:t>
      </w:r>
      <w:r>
        <w:rPr>
          <w:rFonts w:eastAsia="Georgia" w:hAnsi="Georgia" w:cs="Georgia"/>
          <w:color w:val="000000"/>
        </w:rPr>
        <w:t xml:space="preserve">, </w:t>
      </w:r>
      <w:r>
        <w:rPr>
          <w:rFonts w:eastAsia="Georgia" w:hAnsi="Georgia" w:cs="Georgia"/>
          <w:i/>
          <w:color w:val="000000"/>
        </w:rPr>
        <w:t>38</w:t>
      </w:r>
      <w:r>
        <w:rPr>
          <w:rFonts w:eastAsia="Georgia" w:hAnsi="Georgia" w:cs="Georgia"/>
          <w:color w:val="000000"/>
        </w:rPr>
        <w:t xml:space="preserve">(1), 29–35. </w:t>
      </w:r>
      <w:hyperlink r:id="rId97">
        <w:r>
          <w:rPr>
            <w:rFonts w:ascii="helvetica neue" w:eastAsia="helvetica neue" w:hAnsi="helvetica neue" w:cs="helvetica neue"/>
            <w:u w:val="single"/>
          </w:rPr>
          <w:t>https://doi.org/10.1016/j.resourpol.2012.06.016</w:t>
        </w:r>
      </w:hyperlink>
    </w:p>
    <w:p w14:paraId="453B1BE2" w14:textId="77777777" w:rsidR="00BA780F" w:rsidRDefault="00000000">
      <w:pPr>
        <w:numPr>
          <w:ilvl w:val="0"/>
          <w:numId w:val="39"/>
        </w:numPr>
        <w:spacing w:before="105" w:after="105" w:line="360" w:lineRule="auto"/>
      </w:pPr>
      <w:r>
        <w:rPr>
          <w:rFonts w:eastAsia="Georgia" w:hAnsi="Georgia" w:cs="Georgia"/>
          <w:color w:val="000000"/>
        </w:rPr>
        <w:t>Critique that SLO often functions as corporate risk management rather than community empowerment. Necessary to preempt the reviewer concern that "social license" itself is a developer-serving frame.</w:t>
      </w:r>
    </w:p>
    <w:p w14:paraId="07A99003" w14:textId="77777777" w:rsidR="00BA780F" w:rsidRDefault="00000000">
      <w:pPr>
        <w:numPr>
          <w:ilvl w:val="0"/>
          <w:numId w:val="39"/>
        </w:numPr>
        <w:spacing w:before="105" w:after="105" w:line="360" w:lineRule="auto"/>
      </w:pPr>
      <w:r>
        <w:rPr>
          <w:rFonts w:eastAsia="Georgia" w:hAnsi="Georgia" w:cs="Georgia"/>
          <w:b/>
          <w:color w:val="000000"/>
        </w:rPr>
        <w:t>Tag:</w:t>
      </w:r>
      <w:r>
        <w:rPr>
          <w:rFonts w:eastAsia="Georgia" w:hAnsi="Georgia" w:cs="Georgia"/>
          <w:color w:val="000000"/>
        </w:rPr>
        <w:t xml:space="preserve"> Social license.</w:t>
      </w:r>
    </w:p>
    <w:p w14:paraId="0F06790B" w14:textId="77777777" w:rsidR="00BA780F" w:rsidRDefault="00000000">
      <w:pPr>
        <w:spacing w:after="210" w:line="360" w:lineRule="auto"/>
      </w:pPr>
      <w:r>
        <w:rPr>
          <w:rFonts w:eastAsia="Georgia" w:hAnsi="Georgia" w:cs="Georgia"/>
          <w:b/>
          <w:color w:val="000000"/>
        </w:rPr>
        <w:t>B31. Moffat, K., &amp; Zhang, A. (2014).</w:t>
      </w:r>
      <w:r>
        <w:rPr>
          <w:rFonts w:eastAsia="Georgia" w:hAnsi="Georgia" w:cs="Georgia"/>
          <w:color w:val="000000"/>
        </w:rPr>
        <w:t xml:space="preserve"> The paths to social licence to operate: An integrative model explaining community acceptance of mining. </w:t>
      </w:r>
      <w:r>
        <w:rPr>
          <w:rFonts w:eastAsia="Georgia" w:hAnsi="Georgia" w:cs="Georgia"/>
          <w:i/>
          <w:color w:val="000000"/>
        </w:rPr>
        <w:t>Resources Policy</w:t>
      </w:r>
      <w:r>
        <w:rPr>
          <w:rFonts w:eastAsia="Georgia" w:hAnsi="Georgia" w:cs="Georgia"/>
          <w:color w:val="000000"/>
        </w:rPr>
        <w:t xml:space="preserve">, </w:t>
      </w:r>
      <w:r>
        <w:rPr>
          <w:rFonts w:eastAsia="Georgia" w:hAnsi="Georgia" w:cs="Georgia"/>
          <w:i/>
          <w:color w:val="000000"/>
        </w:rPr>
        <w:t>39</w:t>
      </w:r>
      <w:r>
        <w:rPr>
          <w:rFonts w:eastAsia="Georgia" w:hAnsi="Georgia" w:cs="Georgia"/>
          <w:color w:val="000000"/>
        </w:rPr>
        <w:t xml:space="preserve">, 61–70. </w:t>
      </w:r>
      <w:hyperlink r:id="rId98">
        <w:r>
          <w:rPr>
            <w:rFonts w:ascii="helvetica neue" w:eastAsia="helvetica neue" w:hAnsi="helvetica neue" w:cs="helvetica neue"/>
            <w:u w:val="single"/>
          </w:rPr>
          <w:t>https://doi.org/10.1016/j.resourpol.2013.11.003</w:t>
        </w:r>
      </w:hyperlink>
    </w:p>
    <w:p w14:paraId="065E4615" w14:textId="77777777" w:rsidR="00BA780F" w:rsidRDefault="00000000">
      <w:pPr>
        <w:numPr>
          <w:ilvl w:val="0"/>
          <w:numId w:val="40"/>
        </w:numPr>
        <w:spacing w:before="105" w:after="105" w:line="360" w:lineRule="auto"/>
      </w:pPr>
      <w:r>
        <w:rPr>
          <w:rFonts w:eastAsia="Georgia" w:hAnsi="Georgia" w:cs="Georgia"/>
          <w:color w:val="000000"/>
        </w:rPr>
        <w:t>The dominant quantitative SLO model: procedural fairness → trust → acceptance. The most replicated empirical foundation for the manuscript's causal chain.</w:t>
      </w:r>
    </w:p>
    <w:p w14:paraId="69B3581C" w14:textId="77777777" w:rsidR="00BA780F" w:rsidRDefault="00000000">
      <w:pPr>
        <w:numPr>
          <w:ilvl w:val="0"/>
          <w:numId w:val="40"/>
        </w:numPr>
        <w:spacing w:before="105" w:after="105" w:line="360" w:lineRule="auto"/>
      </w:pPr>
      <w:r>
        <w:rPr>
          <w:rFonts w:eastAsia="Georgia" w:hAnsi="Georgia" w:cs="Georgia"/>
          <w:b/>
          <w:color w:val="000000"/>
        </w:rPr>
        <w:t>Tag:</w:t>
      </w:r>
      <w:r>
        <w:rPr>
          <w:rFonts w:eastAsia="Georgia" w:hAnsi="Georgia" w:cs="Georgia"/>
          <w:color w:val="000000"/>
        </w:rPr>
        <w:t xml:space="preserve"> Social license; SEM/path model.</w:t>
      </w:r>
    </w:p>
    <w:p w14:paraId="20482B20" w14:textId="77777777" w:rsidR="00BA780F" w:rsidRDefault="00000000">
      <w:pPr>
        <w:spacing w:after="210" w:line="360" w:lineRule="auto"/>
      </w:pPr>
      <w:r>
        <w:rPr>
          <w:rFonts w:eastAsia="Georgia" w:hAnsi="Georgia" w:cs="Georgia"/>
          <w:b/>
          <w:color w:val="000000"/>
        </w:rPr>
        <w:t>B32. Hall, N., Lacey, J., Carr-Cornish, S., &amp; Dowd, A.-M. (2015).</w:t>
      </w:r>
      <w:r>
        <w:rPr>
          <w:rFonts w:eastAsia="Georgia" w:hAnsi="Georgia" w:cs="Georgia"/>
          <w:color w:val="000000"/>
        </w:rPr>
        <w:t xml:space="preserve"> Social licence to operate: Understanding how a concept has been translated into practice in energy industries. </w:t>
      </w:r>
      <w:r>
        <w:rPr>
          <w:rFonts w:eastAsia="Georgia" w:hAnsi="Georgia" w:cs="Georgia"/>
          <w:i/>
          <w:color w:val="000000"/>
        </w:rPr>
        <w:t>Journal of Cleaner Production</w:t>
      </w:r>
      <w:r>
        <w:rPr>
          <w:rFonts w:eastAsia="Georgia" w:hAnsi="Georgia" w:cs="Georgia"/>
          <w:color w:val="000000"/>
        </w:rPr>
        <w:t xml:space="preserve">, </w:t>
      </w:r>
      <w:r>
        <w:rPr>
          <w:rFonts w:eastAsia="Georgia" w:hAnsi="Georgia" w:cs="Georgia"/>
          <w:i/>
          <w:color w:val="000000"/>
        </w:rPr>
        <w:t>86</w:t>
      </w:r>
      <w:r>
        <w:rPr>
          <w:rFonts w:eastAsia="Georgia" w:hAnsi="Georgia" w:cs="Georgia"/>
          <w:color w:val="000000"/>
        </w:rPr>
        <w:t xml:space="preserve">, 301–310. </w:t>
      </w:r>
      <w:hyperlink r:id="rId99">
        <w:r>
          <w:rPr>
            <w:rFonts w:ascii="helvetica neue" w:eastAsia="helvetica neue" w:hAnsi="helvetica neue" w:cs="helvetica neue"/>
            <w:u w:val="single"/>
          </w:rPr>
          <w:t>https://doi.org/10.1016/j.jclepro.2014.08.020</w:t>
        </w:r>
      </w:hyperlink>
    </w:p>
    <w:p w14:paraId="0BAB3542" w14:textId="77777777" w:rsidR="00BA780F" w:rsidRDefault="00000000">
      <w:pPr>
        <w:numPr>
          <w:ilvl w:val="0"/>
          <w:numId w:val="41"/>
        </w:numPr>
        <w:spacing w:before="105" w:after="105" w:line="360" w:lineRule="auto"/>
      </w:pPr>
      <w:r>
        <w:rPr>
          <w:rFonts w:eastAsia="Georgia" w:hAnsi="Georgia" w:cs="Georgia"/>
          <w:color w:val="000000"/>
        </w:rPr>
        <w:t>Cross-sector empirical comparison (mining, wind, CCS, geothermal); CCS faces uniquely large legal-vs-social legitimacy gap due to fossil lineage. Critical empirical anchor for CCS-specific legitimacy challenges.</w:t>
      </w:r>
    </w:p>
    <w:p w14:paraId="4226D528" w14:textId="77777777" w:rsidR="00BA780F" w:rsidRDefault="00000000">
      <w:pPr>
        <w:numPr>
          <w:ilvl w:val="0"/>
          <w:numId w:val="41"/>
        </w:numPr>
        <w:spacing w:before="105" w:after="105" w:line="360" w:lineRule="auto"/>
      </w:pPr>
      <w:r>
        <w:rPr>
          <w:rFonts w:eastAsia="Georgia" w:hAnsi="Georgia" w:cs="Georgia"/>
          <w:b/>
          <w:color w:val="000000"/>
        </w:rPr>
        <w:t>Tag:</w:t>
      </w:r>
      <w:r>
        <w:rPr>
          <w:rFonts w:eastAsia="Georgia" w:hAnsi="Georgia" w:cs="Georgia"/>
          <w:color w:val="000000"/>
        </w:rPr>
        <w:t xml:space="preserve"> Social license; CCS.</w:t>
      </w:r>
    </w:p>
    <w:p w14:paraId="66CC3180" w14:textId="77777777" w:rsidR="00BA780F" w:rsidRDefault="00000000">
      <w:pPr>
        <w:spacing w:after="210" w:line="360" w:lineRule="auto"/>
      </w:pPr>
      <w:r>
        <w:rPr>
          <w:rFonts w:eastAsia="Georgia" w:hAnsi="Georgia" w:cs="Georgia"/>
          <w:b/>
          <w:color w:val="000000"/>
        </w:rPr>
        <w:t>B33. Gehman, J., Lefsrud, L. M., &amp; Fast, S. (2017).</w:t>
      </w:r>
      <w:r>
        <w:rPr>
          <w:rFonts w:eastAsia="Georgia" w:hAnsi="Georgia" w:cs="Georgia"/>
          <w:color w:val="000000"/>
        </w:rPr>
        <w:t xml:space="preserve"> Social license to operate: Legitimacy by another name? </w:t>
      </w:r>
      <w:r>
        <w:rPr>
          <w:rFonts w:eastAsia="Georgia" w:hAnsi="Georgia" w:cs="Georgia"/>
          <w:i/>
          <w:color w:val="000000"/>
        </w:rPr>
        <w:t>Canadian Public Administration</w:t>
      </w:r>
      <w:r>
        <w:rPr>
          <w:rFonts w:eastAsia="Georgia" w:hAnsi="Georgia" w:cs="Georgia"/>
          <w:color w:val="000000"/>
        </w:rPr>
        <w:t xml:space="preserve">, </w:t>
      </w:r>
      <w:r>
        <w:rPr>
          <w:rFonts w:eastAsia="Georgia" w:hAnsi="Georgia" w:cs="Georgia"/>
          <w:i/>
          <w:color w:val="000000"/>
        </w:rPr>
        <w:t>60</w:t>
      </w:r>
      <w:r>
        <w:rPr>
          <w:rFonts w:eastAsia="Georgia" w:hAnsi="Georgia" w:cs="Georgia"/>
          <w:color w:val="000000"/>
        </w:rPr>
        <w:t xml:space="preserve">(2), 293–317. </w:t>
      </w:r>
      <w:hyperlink r:id="rId100">
        <w:r>
          <w:rPr>
            <w:rFonts w:ascii="helvetica neue" w:eastAsia="helvetica neue" w:hAnsi="helvetica neue" w:cs="helvetica neue"/>
            <w:u w:val="single"/>
          </w:rPr>
          <w:t>https://doi.org/10.1111/capa.12218</w:t>
        </w:r>
      </w:hyperlink>
    </w:p>
    <w:p w14:paraId="4293F0C3" w14:textId="77777777" w:rsidR="00BA780F" w:rsidRDefault="00000000">
      <w:pPr>
        <w:numPr>
          <w:ilvl w:val="0"/>
          <w:numId w:val="42"/>
        </w:numPr>
        <w:spacing w:before="105" w:after="105" w:line="360" w:lineRule="auto"/>
      </w:pPr>
      <w:r>
        <w:rPr>
          <w:rFonts w:eastAsia="Georgia" w:hAnsi="Georgia" w:cs="Georgia"/>
          <w:color w:val="000000"/>
        </w:rPr>
        <w:t>Maps three competing models of SLO (stakeholder management, institutional legitimacy, regulatory governance). Lets you take an explicit theoretical position on which conception of SLO the manuscript uses.</w:t>
      </w:r>
    </w:p>
    <w:p w14:paraId="40884CF2" w14:textId="77777777" w:rsidR="00BA780F" w:rsidRDefault="00000000">
      <w:pPr>
        <w:numPr>
          <w:ilvl w:val="0"/>
          <w:numId w:val="42"/>
        </w:numPr>
        <w:spacing w:before="105" w:after="105" w:line="360" w:lineRule="auto"/>
      </w:pPr>
      <w:r>
        <w:rPr>
          <w:rFonts w:eastAsia="Georgia" w:hAnsi="Georgia" w:cs="Georgia"/>
          <w:b/>
          <w:color w:val="000000"/>
        </w:rPr>
        <w:t>Tag:</w:t>
      </w:r>
      <w:r>
        <w:rPr>
          <w:rFonts w:eastAsia="Georgia" w:hAnsi="Georgia" w:cs="Georgia"/>
          <w:color w:val="000000"/>
        </w:rPr>
        <w:t xml:space="preserve"> Social license; legitimacy theory.</w:t>
      </w:r>
    </w:p>
    <w:p w14:paraId="47FCAD2A" w14:textId="77777777" w:rsidR="00BA780F" w:rsidRDefault="00000000">
      <w:pPr>
        <w:spacing w:after="210" w:line="360" w:lineRule="auto"/>
      </w:pPr>
      <w:r>
        <w:rPr>
          <w:rFonts w:eastAsia="Georgia" w:hAnsi="Georgia" w:cs="Georgia"/>
          <w:b/>
          <w:color w:val="000000"/>
        </w:rPr>
        <w:t>B34. Horowitz, L. S., Keeling, A., Lévesque, F., Rodon, T., Schott, S., &amp; Thériault, S. (2018).</w:t>
      </w:r>
      <w:r>
        <w:rPr>
          <w:rFonts w:eastAsia="Georgia" w:hAnsi="Georgia" w:cs="Georgia"/>
          <w:color w:val="000000"/>
        </w:rPr>
        <w:t xml:space="preserve"> Indigenous peoples' relationships to large-scale mining in post/colonial contexts: Toward multidisciplinary comparative perspectives. </w:t>
      </w:r>
      <w:r>
        <w:rPr>
          <w:rFonts w:eastAsia="Georgia" w:hAnsi="Georgia" w:cs="Georgia"/>
          <w:i/>
          <w:color w:val="000000"/>
        </w:rPr>
        <w:t>The Extractive Industries and Society</w:t>
      </w:r>
      <w:r>
        <w:rPr>
          <w:rFonts w:eastAsia="Georgia" w:hAnsi="Georgia" w:cs="Georgia"/>
          <w:color w:val="000000"/>
        </w:rPr>
        <w:t xml:space="preserve">, </w:t>
      </w:r>
      <w:r>
        <w:rPr>
          <w:rFonts w:eastAsia="Georgia" w:hAnsi="Georgia" w:cs="Georgia"/>
          <w:i/>
          <w:color w:val="000000"/>
        </w:rPr>
        <w:t>5</w:t>
      </w:r>
      <w:r>
        <w:rPr>
          <w:rFonts w:eastAsia="Georgia" w:hAnsi="Georgia" w:cs="Georgia"/>
          <w:color w:val="000000"/>
        </w:rPr>
        <w:t xml:space="preserve">(3), 404–414. </w:t>
      </w:r>
      <w:hyperlink r:id="rId101">
        <w:r>
          <w:rPr>
            <w:rFonts w:ascii="helvetica neue" w:eastAsia="helvetica neue" w:hAnsi="helvetica neue" w:cs="helvetica neue"/>
            <w:u w:val="single"/>
          </w:rPr>
          <w:t>https://doi.org/10.1016/j.exis.2018.05.004</w:t>
        </w:r>
      </w:hyperlink>
    </w:p>
    <w:p w14:paraId="438C0883" w14:textId="77777777" w:rsidR="00BA780F" w:rsidRDefault="00000000">
      <w:pPr>
        <w:numPr>
          <w:ilvl w:val="0"/>
          <w:numId w:val="43"/>
        </w:numPr>
        <w:spacing w:before="105" w:after="105" w:line="360" w:lineRule="auto"/>
      </w:pPr>
      <w:r>
        <w:rPr>
          <w:rFonts w:eastAsia="Georgia" w:hAnsi="Georgia" w:cs="Georgia"/>
          <w:color w:val="000000"/>
        </w:rPr>
        <w:t>Multi-country synthesis arguing that SLO and stakeholder frameworks systematically fail to protect Indigenous rights. Essential for the manuscript's argument that SLO must be supplemented (or replaced) by rights-based mechanisms when Indigenous nations are involved.</w:t>
      </w:r>
    </w:p>
    <w:p w14:paraId="6E2F64C6" w14:textId="77777777" w:rsidR="00BA780F" w:rsidRDefault="00000000">
      <w:pPr>
        <w:numPr>
          <w:ilvl w:val="0"/>
          <w:numId w:val="43"/>
        </w:numPr>
        <w:spacing w:before="105" w:after="105" w:line="360" w:lineRule="auto"/>
      </w:pPr>
      <w:r>
        <w:rPr>
          <w:rFonts w:eastAsia="Georgia" w:hAnsi="Georgia" w:cs="Georgia"/>
          <w:b/>
          <w:color w:val="000000"/>
        </w:rPr>
        <w:t>Tag:</w:t>
      </w:r>
      <w:r>
        <w:rPr>
          <w:rFonts w:eastAsia="Georgia" w:hAnsi="Georgia" w:cs="Georgia"/>
          <w:color w:val="000000"/>
        </w:rPr>
        <w:t xml:space="preserve"> Social license; Indigenous rights.</w:t>
      </w:r>
    </w:p>
    <w:p w14:paraId="2B3A024E" w14:textId="77777777" w:rsidR="00BA780F" w:rsidRDefault="00000000">
      <w:pPr>
        <w:spacing w:after="210" w:line="360" w:lineRule="auto"/>
      </w:pPr>
      <w:r>
        <w:rPr>
          <w:rFonts w:eastAsia="Georgia" w:hAnsi="Georgia" w:cs="Georgia"/>
          <w:b/>
          <w:color w:val="000000"/>
        </w:rPr>
        <w:t>B35. Boutilier, R. G. (2021).</w:t>
      </w:r>
      <w:r>
        <w:rPr>
          <w:rFonts w:eastAsia="Georgia" w:hAnsi="Georgia" w:cs="Georgia"/>
          <w:color w:val="000000"/>
        </w:rPr>
        <w:t xml:space="preserve"> From metaphor to political spin: Understanding criticisms of the social licence. </w:t>
      </w:r>
      <w:r>
        <w:rPr>
          <w:rFonts w:eastAsia="Georgia" w:hAnsi="Georgia" w:cs="Georgia"/>
          <w:i/>
          <w:color w:val="000000"/>
        </w:rPr>
        <w:t>The Extractive Industries and Society</w:t>
      </w:r>
      <w:r>
        <w:rPr>
          <w:rFonts w:eastAsia="Georgia" w:hAnsi="Georgia" w:cs="Georgia"/>
          <w:color w:val="000000"/>
        </w:rPr>
        <w:t xml:space="preserve">, </w:t>
      </w:r>
      <w:r>
        <w:rPr>
          <w:rFonts w:eastAsia="Georgia" w:hAnsi="Georgia" w:cs="Georgia"/>
          <w:i/>
          <w:color w:val="000000"/>
        </w:rPr>
        <w:t>8</w:t>
      </w:r>
      <w:r>
        <w:rPr>
          <w:rFonts w:eastAsia="Georgia" w:hAnsi="Georgia" w:cs="Georgia"/>
          <w:color w:val="000000"/>
        </w:rPr>
        <w:t xml:space="preserve">(2), 100743. </w:t>
      </w:r>
      <w:hyperlink r:id="rId102">
        <w:r>
          <w:rPr>
            <w:rFonts w:ascii="helvetica neue" w:eastAsia="helvetica neue" w:hAnsi="helvetica neue" w:cs="helvetica neue"/>
            <w:u w:val="single"/>
          </w:rPr>
          <w:t>https://doi.org/10.1016/j.exis.2020.05.022</w:t>
        </w:r>
      </w:hyperlink>
    </w:p>
    <w:p w14:paraId="6B774645" w14:textId="77777777" w:rsidR="00BA780F" w:rsidRDefault="00000000">
      <w:pPr>
        <w:numPr>
          <w:ilvl w:val="0"/>
          <w:numId w:val="44"/>
        </w:numPr>
        <w:spacing w:before="105" w:after="105" w:line="360" w:lineRule="auto"/>
      </w:pPr>
      <w:r>
        <w:rPr>
          <w:rFonts w:eastAsia="Georgia" w:hAnsi="Georgia" w:cs="Georgia"/>
          <w:color w:val="000000"/>
        </w:rPr>
        <w:t>Self-critical reflection from one of SLO's architects, acknowledging definitional vagueness and Indigenous-rights limits. Citing SLO's founder accepting these critiques substantially strengthens the manuscript's call for rights-based alternatives.</w:t>
      </w:r>
    </w:p>
    <w:p w14:paraId="59CFC066" w14:textId="77777777" w:rsidR="00BA780F" w:rsidRDefault="00000000">
      <w:pPr>
        <w:numPr>
          <w:ilvl w:val="0"/>
          <w:numId w:val="44"/>
        </w:numPr>
        <w:spacing w:before="105" w:after="105" w:line="360" w:lineRule="auto"/>
      </w:pPr>
      <w:r>
        <w:rPr>
          <w:rFonts w:eastAsia="Georgia" w:hAnsi="Georgia" w:cs="Georgia"/>
          <w:b/>
          <w:color w:val="000000"/>
        </w:rPr>
        <w:t>Tag:</w:t>
      </w:r>
      <w:r>
        <w:rPr>
          <w:rFonts w:eastAsia="Georgia" w:hAnsi="Georgia" w:cs="Georgia"/>
          <w:color w:val="000000"/>
        </w:rPr>
        <w:t xml:space="preserve"> Social license.</w:t>
      </w:r>
    </w:p>
    <w:p w14:paraId="1214E24C" w14:textId="77777777" w:rsidR="00BA780F" w:rsidRDefault="00000000">
      <w:pPr>
        <w:spacing w:after="210" w:line="360" w:lineRule="auto"/>
      </w:pPr>
      <w:r>
        <w:rPr>
          <w:rFonts w:eastAsia="Georgia" w:hAnsi="Georgia" w:cs="Georgia"/>
          <w:b/>
          <w:color w:val="000000"/>
        </w:rPr>
        <w:t>B36. Minadakis, P., &amp; Vega-Araújo, J. (2024).</w:t>
      </w:r>
      <w:r>
        <w:rPr>
          <w:rFonts w:eastAsia="Georgia" w:hAnsi="Georgia" w:cs="Georgia"/>
          <w:color w:val="000000"/>
        </w:rPr>
        <w:t xml:space="preserve"> Rethinking the social license to operate? A theoretical exploration of its synergies with social acceptance and energy justice for a just transition. </w:t>
      </w:r>
      <w:r>
        <w:rPr>
          <w:rFonts w:eastAsia="Georgia" w:hAnsi="Georgia" w:cs="Georgia"/>
          <w:i/>
          <w:color w:val="000000"/>
        </w:rPr>
        <w:t>Energy Research &amp; Social Science</w:t>
      </w:r>
      <w:r>
        <w:rPr>
          <w:rFonts w:eastAsia="Georgia" w:hAnsi="Georgia" w:cs="Georgia"/>
          <w:color w:val="000000"/>
        </w:rPr>
        <w:t xml:space="preserve">, </w:t>
      </w:r>
      <w:r>
        <w:rPr>
          <w:rFonts w:eastAsia="Georgia" w:hAnsi="Georgia" w:cs="Georgia"/>
          <w:i/>
          <w:color w:val="000000"/>
        </w:rPr>
        <w:t>113</w:t>
      </w:r>
      <w:r>
        <w:rPr>
          <w:rFonts w:eastAsia="Georgia" w:hAnsi="Georgia" w:cs="Georgia"/>
          <w:color w:val="000000"/>
        </w:rPr>
        <w:t xml:space="preserve">, 103552. </w:t>
      </w:r>
      <w:hyperlink r:id="rId103">
        <w:r>
          <w:rPr>
            <w:rFonts w:ascii="helvetica neue" w:eastAsia="helvetica neue" w:hAnsi="helvetica neue" w:cs="helvetica neue"/>
            <w:u w:val="single"/>
          </w:rPr>
          <w:t>https://doi.org/10.1016/j.erss.2024.103552</w:t>
        </w:r>
      </w:hyperlink>
    </w:p>
    <w:p w14:paraId="463A3DE6" w14:textId="77777777" w:rsidR="00BA780F" w:rsidRDefault="00000000">
      <w:pPr>
        <w:numPr>
          <w:ilvl w:val="0"/>
          <w:numId w:val="45"/>
        </w:numPr>
        <w:spacing w:before="105" w:after="105" w:line="360" w:lineRule="auto"/>
      </w:pPr>
      <w:r>
        <w:rPr>
          <w:rFonts w:eastAsia="Georgia" w:hAnsi="Georgia" w:cs="Georgia"/>
          <w:color w:val="000000"/>
        </w:rPr>
        <w:t>Theorizes SLO through the energy justice lens, arguing for procedural/recognition/distributive criteria. Direct theoretical precedent for the manuscript's integrated SLO + energy justice frame.</w:t>
      </w:r>
    </w:p>
    <w:p w14:paraId="4365748D" w14:textId="77777777" w:rsidR="00BA780F" w:rsidRDefault="00000000">
      <w:pPr>
        <w:numPr>
          <w:ilvl w:val="0"/>
          <w:numId w:val="45"/>
        </w:numPr>
        <w:spacing w:before="105" w:after="105" w:line="360" w:lineRule="auto"/>
      </w:pPr>
      <w:r>
        <w:rPr>
          <w:rFonts w:eastAsia="Georgia" w:hAnsi="Georgia" w:cs="Georgia"/>
          <w:b/>
          <w:color w:val="000000"/>
        </w:rPr>
        <w:t>Tag:</w:t>
      </w:r>
      <w:r>
        <w:rPr>
          <w:rFonts w:eastAsia="Georgia" w:hAnsi="Georgia" w:cs="Georgia"/>
          <w:color w:val="000000"/>
        </w:rPr>
        <w:t xml:space="preserve"> Social license; energy justice.</w:t>
      </w:r>
    </w:p>
    <w:p w14:paraId="26351074" w14:textId="77777777" w:rsidR="00BA780F" w:rsidRDefault="00000000">
      <w:pPr>
        <w:spacing w:after="210" w:line="360" w:lineRule="auto"/>
      </w:pPr>
      <w:r>
        <w:rPr>
          <w:rFonts w:eastAsia="Georgia" w:hAnsi="Georgia" w:cs="Georgia"/>
          <w:b/>
          <w:color w:val="000000"/>
        </w:rPr>
        <w:t>B37. Ó Maonaigh, C., Fitzgerald, L. M., &amp; Reilly, L. (2025).</w:t>
      </w:r>
      <w:r>
        <w:rPr>
          <w:rFonts w:eastAsia="Georgia" w:hAnsi="Georgia" w:cs="Georgia"/>
          <w:color w:val="000000"/>
        </w:rPr>
        <w:t xml:space="preserve"> Revisiting the social licence to operate in the energy transition: An intersectional agenda for research and practice. </w:t>
      </w:r>
      <w:r>
        <w:rPr>
          <w:rFonts w:eastAsia="Georgia" w:hAnsi="Georgia" w:cs="Georgia"/>
          <w:i/>
          <w:color w:val="000000"/>
        </w:rPr>
        <w:t>Energy Research &amp; Social Science</w:t>
      </w:r>
      <w:r>
        <w:rPr>
          <w:rFonts w:eastAsia="Georgia" w:hAnsi="Georgia" w:cs="Georgia"/>
          <w:color w:val="000000"/>
        </w:rPr>
        <w:t xml:space="preserve">, </w:t>
      </w:r>
      <w:r>
        <w:rPr>
          <w:rFonts w:eastAsia="Georgia" w:hAnsi="Georgia" w:cs="Georgia"/>
          <w:i/>
          <w:color w:val="000000"/>
        </w:rPr>
        <w:t>126</w:t>
      </w:r>
      <w:r>
        <w:rPr>
          <w:rFonts w:eastAsia="Georgia" w:hAnsi="Georgia" w:cs="Georgia"/>
          <w:color w:val="000000"/>
        </w:rPr>
        <w:t xml:space="preserve">, 104139. </w:t>
      </w:r>
      <w:hyperlink r:id="rId104">
        <w:r>
          <w:rPr>
            <w:rFonts w:ascii="helvetica neue" w:eastAsia="helvetica neue" w:hAnsi="helvetica neue" w:cs="helvetica neue"/>
            <w:u w:val="single"/>
          </w:rPr>
          <w:t>https://doi.org/10.1016/j.erss.2025.104139</w:t>
        </w:r>
      </w:hyperlink>
    </w:p>
    <w:p w14:paraId="5CC4F3B4" w14:textId="77777777" w:rsidR="00BA780F" w:rsidRDefault="00000000">
      <w:pPr>
        <w:numPr>
          <w:ilvl w:val="0"/>
          <w:numId w:val="46"/>
        </w:numPr>
        <w:spacing w:before="105" w:after="105" w:line="360" w:lineRule="auto"/>
      </w:pPr>
      <w:r>
        <w:rPr>
          <w:rFonts w:eastAsia="Georgia" w:hAnsi="Georgia" w:cs="Georgia"/>
          <w:color w:val="000000"/>
        </w:rPr>
        <w:t xml:space="preserve">Intersectional critique of SLO that foregrounds community heterogeneity and Indigeneity. Published in your target journal in 2025 — both substantively important and signal-of-fit for </w:t>
      </w:r>
      <w:r>
        <w:rPr>
          <w:rFonts w:eastAsia="Georgia" w:hAnsi="Georgia" w:cs="Georgia"/>
          <w:i/>
          <w:color w:val="000000"/>
        </w:rPr>
        <w:t>ERSS</w:t>
      </w:r>
      <w:r>
        <w:rPr>
          <w:rFonts w:eastAsia="Georgia" w:hAnsi="Georgia" w:cs="Georgia"/>
          <w:color w:val="000000"/>
        </w:rPr>
        <w:t>.</w:t>
      </w:r>
    </w:p>
    <w:p w14:paraId="0AC617C3" w14:textId="77777777" w:rsidR="00BA780F" w:rsidRDefault="00000000">
      <w:pPr>
        <w:numPr>
          <w:ilvl w:val="0"/>
          <w:numId w:val="46"/>
        </w:numPr>
        <w:spacing w:before="105" w:after="105" w:line="360" w:lineRule="auto"/>
      </w:pPr>
      <w:r>
        <w:rPr>
          <w:rFonts w:eastAsia="Georgia" w:hAnsi="Georgia" w:cs="Georgia"/>
          <w:b/>
          <w:color w:val="000000"/>
        </w:rPr>
        <w:t>Tag:</w:t>
      </w:r>
      <w:r>
        <w:rPr>
          <w:rFonts w:eastAsia="Georgia" w:hAnsi="Georgia" w:cs="Georgia"/>
          <w:color w:val="000000"/>
        </w:rPr>
        <w:t xml:space="preserve"> Social license; energy justice.</w:t>
      </w:r>
    </w:p>
    <w:p w14:paraId="6C8A3F5F" w14:textId="77777777" w:rsidR="00BA780F" w:rsidRDefault="00000000">
      <w:pPr>
        <w:spacing w:before="315" w:after="105" w:line="360" w:lineRule="auto"/>
        <w:ind w:left="-30"/>
      </w:pPr>
      <w:bookmarkStart w:id="17" w:name="stream_5_indigenous_rights_and_co_6eefd1"/>
      <w:r>
        <w:rPr>
          <w:rFonts w:eastAsia="Georgia" w:hAnsi="Georgia" w:cs="Georgia"/>
          <w:b/>
          <w:color w:val="000000"/>
          <w:sz w:val="24"/>
        </w:rPr>
        <w:t>Stream 5 — Indigenous rights and contested energy infrastructure</w:t>
      </w:r>
      <w:bookmarkEnd w:id="17"/>
    </w:p>
    <w:p w14:paraId="0EAE0DCF" w14:textId="77777777" w:rsidR="00BA780F" w:rsidRDefault="00000000">
      <w:pPr>
        <w:spacing w:after="210" w:line="360" w:lineRule="auto"/>
      </w:pPr>
      <w:r>
        <w:rPr>
          <w:rFonts w:eastAsia="Georgia" w:hAnsi="Georgia" w:cs="Georgia"/>
          <w:b/>
          <w:color w:val="000000"/>
        </w:rPr>
        <w:t>B38. Whyte, K. P. (2018).</w:t>
      </w:r>
      <w:r>
        <w:rPr>
          <w:rFonts w:eastAsia="Georgia" w:hAnsi="Georgia" w:cs="Georgia"/>
          <w:color w:val="000000"/>
        </w:rPr>
        <w:t xml:space="preserve"> Settler colonialism, ecology, and environmental injustice. </w:t>
      </w:r>
      <w:r>
        <w:rPr>
          <w:rFonts w:eastAsia="Georgia" w:hAnsi="Georgia" w:cs="Georgia"/>
          <w:i/>
          <w:color w:val="000000"/>
        </w:rPr>
        <w:t>Environment and Society</w:t>
      </w:r>
      <w:r>
        <w:rPr>
          <w:rFonts w:eastAsia="Georgia" w:hAnsi="Georgia" w:cs="Georgia"/>
          <w:color w:val="000000"/>
        </w:rPr>
        <w:t xml:space="preserve">, </w:t>
      </w:r>
      <w:r>
        <w:rPr>
          <w:rFonts w:eastAsia="Georgia" w:hAnsi="Georgia" w:cs="Georgia"/>
          <w:i/>
          <w:color w:val="000000"/>
        </w:rPr>
        <w:t>9</w:t>
      </w:r>
      <w:r>
        <w:rPr>
          <w:rFonts w:eastAsia="Georgia" w:hAnsi="Georgia" w:cs="Georgia"/>
          <w:color w:val="000000"/>
        </w:rPr>
        <w:t xml:space="preserve">(1), 125–144. </w:t>
      </w:r>
      <w:hyperlink r:id="rId105">
        <w:r>
          <w:rPr>
            <w:rFonts w:ascii="helvetica neue" w:eastAsia="helvetica neue" w:hAnsi="helvetica neue" w:cs="helvetica neue"/>
            <w:u w:val="single"/>
          </w:rPr>
          <w:t>https://doi.org/10.3167/ares.2018.090109</w:t>
        </w:r>
      </w:hyperlink>
    </w:p>
    <w:p w14:paraId="46548010" w14:textId="77777777" w:rsidR="00BA780F" w:rsidRDefault="00000000">
      <w:pPr>
        <w:numPr>
          <w:ilvl w:val="0"/>
          <w:numId w:val="47"/>
        </w:numPr>
        <w:spacing w:before="105" w:after="105" w:line="360" w:lineRule="auto"/>
      </w:pPr>
      <w:r>
        <w:rPr>
          <w:rFonts w:eastAsia="Georgia" w:hAnsi="Georgia" w:cs="Georgia"/>
          <w:color w:val="000000"/>
        </w:rPr>
        <w:t>Develops "collective continuance" — Indigenous self-determination across generations — and shows why liberal procedural/distributive frameworks alone cannot address Indigenous environmental injustice. Theoretical infrastructure for distinguishing EJ from Indigenous EJ.</w:t>
      </w:r>
    </w:p>
    <w:p w14:paraId="32C1B2B1" w14:textId="77777777" w:rsidR="00BA780F" w:rsidRDefault="00000000">
      <w:pPr>
        <w:numPr>
          <w:ilvl w:val="0"/>
          <w:numId w:val="47"/>
        </w:numPr>
        <w:spacing w:before="105" w:after="105" w:line="360" w:lineRule="auto"/>
      </w:pPr>
      <w:r>
        <w:rPr>
          <w:rFonts w:eastAsia="Georgia" w:hAnsi="Georgia" w:cs="Georgia"/>
          <w:b/>
          <w:color w:val="000000"/>
        </w:rPr>
        <w:t>Tag:</w:t>
      </w:r>
      <w:r>
        <w:rPr>
          <w:rFonts w:eastAsia="Georgia" w:hAnsi="Georgia" w:cs="Georgia"/>
          <w:color w:val="000000"/>
        </w:rPr>
        <w:t xml:space="preserve"> Indigenous rights.</w:t>
      </w:r>
    </w:p>
    <w:p w14:paraId="4BF0F1B6" w14:textId="77777777" w:rsidR="00BA780F" w:rsidRDefault="00000000">
      <w:pPr>
        <w:spacing w:after="210" w:line="360" w:lineRule="auto"/>
      </w:pPr>
      <w:r>
        <w:rPr>
          <w:rFonts w:eastAsia="Georgia" w:hAnsi="Georgia" w:cs="Georgia"/>
          <w:b/>
          <w:color w:val="000000"/>
        </w:rPr>
        <w:t>B39. Whyte, K. P. (2020).</w:t>
      </w:r>
      <w:r>
        <w:rPr>
          <w:rFonts w:eastAsia="Georgia" w:hAnsi="Georgia" w:cs="Georgia"/>
          <w:color w:val="000000"/>
        </w:rPr>
        <w:t xml:space="preserve"> Too late for indigenous climate justice: Ecological and relational tipping points. </w:t>
      </w:r>
      <w:r>
        <w:rPr>
          <w:rFonts w:eastAsia="Georgia" w:hAnsi="Georgia" w:cs="Georgia"/>
          <w:i/>
          <w:color w:val="000000"/>
        </w:rPr>
        <w:t>WIREs Climate Change</w:t>
      </w:r>
      <w:r>
        <w:rPr>
          <w:rFonts w:eastAsia="Georgia" w:hAnsi="Georgia" w:cs="Georgia"/>
          <w:color w:val="000000"/>
        </w:rPr>
        <w:t xml:space="preserve">, </w:t>
      </w:r>
      <w:r>
        <w:rPr>
          <w:rFonts w:eastAsia="Georgia" w:hAnsi="Georgia" w:cs="Georgia"/>
          <w:i/>
          <w:color w:val="000000"/>
        </w:rPr>
        <w:t>11</w:t>
      </w:r>
      <w:r>
        <w:rPr>
          <w:rFonts w:eastAsia="Georgia" w:hAnsi="Georgia" w:cs="Georgia"/>
          <w:color w:val="000000"/>
        </w:rPr>
        <w:t xml:space="preserve">(1), e603. </w:t>
      </w:r>
      <w:hyperlink r:id="rId106">
        <w:r>
          <w:rPr>
            <w:rFonts w:ascii="helvetica neue" w:eastAsia="helvetica neue" w:hAnsi="helvetica neue" w:cs="helvetica neue"/>
            <w:u w:val="single"/>
          </w:rPr>
          <w:t>https://doi.org/10.1002/wcc.603</w:t>
        </w:r>
      </w:hyperlink>
    </w:p>
    <w:p w14:paraId="7575C2E8" w14:textId="77777777" w:rsidR="00BA780F" w:rsidRDefault="00000000">
      <w:pPr>
        <w:numPr>
          <w:ilvl w:val="0"/>
          <w:numId w:val="48"/>
        </w:numPr>
        <w:spacing w:before="105" w:after="105" w:line="360" w:lineRule="auto"/>
      </w:pPr>
      <w:r>
        <w:rPr>
          <w:rFonts w:eastAsia="Georgia" w:hAnsi="Georgia" w:cs="Georgia"/>
          <w:color w:val="000000"/>
        </w:rPr>
        <w:t>Argues the relational preconditions for climate justice (consent, trust, reciprocity) have been so eroded by colonialism that climate technologies risk deepening, not addressing, injustice. Directly relevant to CCS as a climate technology imposed on contested land.</w:t>
      </w:r>
    </w:p>
    <w:p w14:paraId="41C33EC9" w14:textId="77777777" w:rsidR="00BA780F" w:rsidRDefault="00000000">
      <w:pPr>
        <w:numPr>
          <w:ilvl w:val="0"/>
          <w:numId w:val="48"/>
        </w:numPr>
        <w:spacing w:before="105" w:after="105" w:line="360" w:lineRule="auto"/>
      </w:pPr>
      <w:r>
        <w:rPr>
          <w:rFonts w:eastAsia="Georgia" w:hAnsi="Georgia" w:cs="Georgia"/>
          <w:b/>
          <w:color w:val="000000"/>
        </w:rPr>
        <w:t>Tag:</w:t>
      </w:r>
      <w:r>
        <w:rPr>
          <w:rFonts w:eastAsia="Georgia" w:hAnsi="Georgia" w:cs="Georgia"/>
          <w:color w:val="000000"/>
        </w:rPr>
        <w:t xml:space="preserve"> Indigenous rights.</w:t>
      </w:r>
    </w:p>
    <w:p w14:paraId="7A4C6C46" w14:textId="77777777" w:rsidR="00BA780F" w:rsidRDefault="00000000">
      <w:pPr>
        <w:spacing w:after="210" w:line="360" w:lineRule="auto"/>
      </w:pPr>
      <w:r>
        <w:rPr>
          <w:rFonts w:eastAsia="Georgia" w:hAnsi="Georgia" w:cs="Georgia"/>
          <w:b/>
          <w:color w:val="000000"/>
        </w:rPr>
        <w:t>B40. Coulthard, G. S. (2014).</w:t>
      </w:r>
      <w:r>
        <w:rPr>
          <w:rFonts w:eastAsia="Georgia" w:hAnsi="Georgia" w:cs="Georgia"/>
          <w:color w:val="000000"/>
        </w:rPr>
        <w:t xml:space="preserve"> </w:t>
      </w:r>
      <w:r>
        <w:rPr>
          <w:rFonts w:eastAsia="Georgia" w:hAnsi="Georgia" w:cs="Georgia"/>
          <w:i/>
          <w:color w:val="000000"/>
        </w:rPr>
        <w:t>Red skin, white masks: Rejecting the colonial politics of recognition</w:t>
      </w:r>
      <w:r>
        <w:rPr>
          <w:rFonts w:eastAsia="Georgia" w:hAnsi="Georgia" w:cs="Georgia"/>
          <w:color w:val="000000"/>
        </w:rPr>
        <w:t xml:space="preserve">. University of Minnesota Press. </w:t>
      </w:r>
      <w:hyperlink r:id="rId107">
        <w:r>
          <w:rPr>
            <w:rFonts w:ascii="helvetica neue" w:eastAsia="helvetica neue" w:hAnsi="helvetica neue" w:cs="helvetica neue"/>
            <w:u w:val="single"/>
          </w:rPr>
          <w:t>https://doi.org/10.5749/minnesota/9780816679645.001.0001</w:t>
        </w:r>
      </w:hyperlink>
    </w:p>
    <w:p w14:paraId="60E2AFAA" w14:textId="77777777" w:rsidR="00BA780F" w:rsidRDefault="00000000">
      <w:pPr>
        <w:numPr>
          <w:ilvl w:val="0"/>
          <w:numId w:val="49"/>
        </w:numPr>
        <w:spacing w:before="105" w:after="105" w:line="360" w:lineRule="auto"/>
      </w:pPr>
      <w:r>
        <w:rPr>
          <w:rFonts w:eastAsia="Georgia" w:hAnsi="Georgia" w:cs="Georgia"/>
          <w:color w:val="000000"/>
        </w:rPr>
        <w:t>Foundational Dene critique of state-led "recognition" as recolonization. The theoretical backbone for arguing that consultation without jurisdictional transformation reproduces colonial recognition logics.</w:t>
      </w:r>
    </w:p>
    <w:p w14:paraId="7379FEDF" w14:textId="77777777" w:rsidR="00BA780F" w:rsidRDefault="00000000">
      <w:pPr>
        <w:numPr>
          <w:ilvl w:val="0"/>
          <w:numId w:val="49"/>
        </w:numPr>
        <w:spacing w:before="105" w:after="105" w:line="360" w:lineRule="auto"/>
      </w:pPr>
      <w:r>
        <w:rPr>
          <w:rFonts w:eastAsia="Georgia" w:hAnsi="Georgia" w:cs="Georgia"/>
          <w:b/>
          <w:color w:val="000000"/>
        </w:rPr>
        <w:t>Tag:</w:t>
      </w:r>
      <w:r>
        <w:rPr>
          <w:rFonts w:eastAsia="Georgia" w:hAnsi="Georgia" w:cs="Georgia"/>
          <w:color w:val="000000"/>
        </w:rPr>
        <w:t xml:space="preserve"> Indigenous rights; recognition.</w:t>
      </w:r>
    </w:p>
    <w:p w14:paraId="2A33A35B" w14:textId="77777777" w:rsidR="00BA780F" w:rsidRDefault="00000000">
      <w:pPr>
        <w:spacing w:after="210" w:line="360" w:lineRule="auto"/>
      </w:pPr>
      <w:r>
        <w:rPr>
          <w:rFonts w:eastAsia="Georgia" w:hAnsi="Georgia" w:cs="Georgia"/>
          <w:b/>
          <w:color w:val="000000"/>
        </w:rPr>
        <w:t>B41. Estes, N. (2019).</w:t>
      </w:r>
      <w:r>
        <w:rPr>
          <w:rFonts w:eastAsia="Georgia" w:hAnsi="Georgia" w:cs="Georgia"/>
          <w:color w:val="000000"/>
        </w:rPr>
        <w:t xml:space="preserve"> </w:t>
      </w:r>
      <w:r>
        <w:rPr>
          <w:rFonts w:eastAsia="Georgia" w:hAnsi="Georgia" w:cs="Georgia"/>
          <w:i/>
          <w:color w:val="000000"/>
        </w:rPr>
        <w:t>Our history is the future: Standing Rock versus the Dakota Access Pipeline, and the long tradition of Indigenous resistance</w:t>
      </w:r>
      <w:r>
        <w:rPr>
          <w:rFonts w:eastAsia="Georgia" w:hAnsi="Georgia" w:cs="Georgia"/>
          <w:color w:val="000000"/>
        </w:rPr>
        <w:t xml:space="preserve">. Verso. </w:t>
      </w:r>
      <w:r>
        <w:rPr>
          <w:rFonts w:eastAsia="Georgia" w:hAnsi="Georgia" w:cs="Georgia"/>
          <w:b/>
          <w:color w:val="000000"/>
        </w:rPr>
        <w:t>ISBN 9781786636737</w:t>
      </w:r>
      <w:r>
        <w:rPr>
          <w:rFonts w:eastAsia="Georgia" w:hAnsi="Georgia" w:cs="Georgia"/>
          <w:color w:val="000000"/>
        </w:rPr>
        <w:t xml:space="preserve"> (no DOI — book). Stable URL: </w:t>
      </w:r>
      <w:hyperlink r:id="rId108">
        <w:r>
          <w:rPr>
            <w:rFonts w:ascii="helvetica neue" w:eastAsia="helvetica neue" w:hAnsi="helvetica neue" w:cs="helvetica neue"/>
            <w:u w:val="single"/>
          </w:rPr>
          <w:t>https://www.versobooks.com/products/our-history-is-the-future</w:t>
        </w:r>
      </w:hyperlink>
    </w:p>
    <w:p w14:paraId="1A0E94BB" w14:textId="77777777" w:rsidR="00BA780F" w:rsidRDefault="00000000">
      <w:pPr>
        <w:numPr>
          <w:ilvl w:val="0"/>
          <w:numId w:val="50"/>
        </w:numPr>
        <w:spacing w:before="105" w:after="105" w:line="360" w:lineRule="auto"/>
      </w:pPr>
      <w:r>
        <w:rPr>
          <w:rFonts w:eastAsia="Georgia" w:hAnsi="Georgia" w:cs="Georgia"/>
          <w:color w:val="000000"/>
        </w:rPr>
        <w:t>Oceti Sakowin scholar's history of #NoDAPL situated within 150 years of treaty violations. Repositions pipeline opposition as treaty-rights assertion, not generic environmental protest — essential for how the manuscript frames Indigenous opposition.</w:t>
      </w:r>
    </w:p>
    <w:p w14:paraId="3C6C8607" w14:textId="77777777" w:rsidR="00BA780F" w:rsidRDefault="00000000">
      <w:pPr>
        <w:numPr>
          <w:ilvl w:val="0"/>
          <w:numId w:val="50"/>
        </w:numPr>
        <w:spacing w:before="105" w:after="105" w:line="360" w:lineRule="auto"/>
      </w:pPr>
      <w:r>
        <w:rPr>
          <w:rFonts w:eastAsia="Georgia" w:hAnsi="Georgia" w:cs="Georgia"/>
          <w:b/>
          <w:color w:val="000000"/>
        </w:rPr>
        <w:t>Tag:</w:t>
      </w:r>
      <w:r>
        <w:rPr>
          <w:rFonts w:eastAsia="Georgia" w:hAnsi="Georgia" w:cs="Georgia"/>
          <w:color w:val="000000"/>
        </w:rPr>
        <w:t xml:space="preserve"> Indigenous rights; DAPL.</w:t>
      </w:r>
    </w:p>
    <w:p w14:paraId="2A5E87F2" w14:textId="77777777" w:rsidR="00BA780F" w:rsidRDefault="00000000">
      <w:pPr>
        <w:spacing w:after="210" w:line="360" w:lineRule="auto"/>
      </w:pPr>
      <w:r>
        <w:rPr>
          <w:rFonts w:eastAsia="Georgia" w:hAnsi="Georgia" w:cs="Georgia"/>
          <w:b/>
          <w:color w:val="000000"/>
        </w:rPr>
        <w:t>B42. Gilio-Whitaker, D. (2019).</w:t>
      </w:r>
      <w:r>
        <w:rPr>
          <w:rFonts w:eastAsia="Georgia" w:hAnsi="Georgia" w:cs="Georgia"/>
          <w:color w:val="000000"/>
        </w:rPr>
        <w:t xml:space="preserve"> </w:t>
      </w:r>
      <w:r>
        <w:rPr>
          <w:rFonts w:eastAsia="Georgia" w:hAnsi="Georgia" w:cs="Georgia"/>
          <w:i/>
          <w:color w:val="000000"/>
        </w:rPr>
        <w:t>As long as grass grows: The Indigenous fight for environmental justice, from colonization to Standing Rock</w:t>
      </w:r>
      <w:r>
        <w:rPr>
          <w:rFonts w:eastAsia="Georgia" w:hAnsi="Georgia" w:cs="Georgia"/>
          <w:color w:val="000000"/>
        </w:rPr>
        <w:t xml:space="preserve">. Beacon Press. </w:t>
      </w:r>
      <w:r>
        <w:rPr>
          <w:rFonts w:eastAsia="Georgia" w:hAnsi="Georgia" w:cs="Georgia"/>
          <w:b/>
          <w:color w:val="000000"/>
        </w:rPr>
        <w:t>ISBN 9780807073780</w:t>
      </w:r>
      <w:r>
        <w:rPr>
          <w:rFonts w:eastAsia="Georgia" w:hAnsi="Georgia" w:cs="Georgia"/>
          <w:color w:val="000000"/>
        </w:rPr>
        <w:t xml:space="preserve"> (no DOI — book). Stable URL: </w:t>
      </w:r>
      <w:hyperlink r:id="rId109">
        <w:r>
          <w:rPr>
            <w:rFonts w:ascii="helvetica neue" w:eastAsia="helvetica neue" w:hAnsi="helvetica neue" w:cs="helvetica neue"/>
            <w:u w:val="single"/>
          </w:rPr>
          <w:t>https://www.beacon.org/As-Long-as-Grass-Grows-P1230.aspx</w:t>
        </w:r>
      </w:hyperlink>
    </w:p>
    <w:p w14:paraId="07921ABF" w14:textId="77777777" w:rsidR="00BA780F" w:rsidRDefault="00000000">
      <w:pPr>
        <w:numPr>
          <w:ilvl w:val="0"/>
          <w:numId w:val="51"/>
        </w:numPr>
        <w:spacing w:before="105" w:after="105" w:line="360" w:lineRule="auto"/>
      </w:pPr>
      <w:r>
        <w:rPr>
          <w:rFonts w:eastAsia="Georgia" w:hAnsi="Georgia" w:cs="Georgia"/>
          <w:color w:val="000000"/>
        </w:rPr>
        <w:t>Distinguishes mainstream EJ from Indigenist EJ grounded in sovereignty. Directly supports the argument that "social license" framings are settler moves to innocence unless they engage Indigenous jurisdictional authority.</w:t>
      </w:r>
    </w:p>
    <w:p w14:paraId="0B18BDF9" w14:textId="77777777" w:rsidR="00BA780F" w:rsidRDefault="00000000">
      <w:pPr>
        <w:numPr>
          <w:ilvl w:val="0"/>
          <w:numId w:val="51"/>
        </w:numPr>
        <w:spacing w:before="105" w:after="105" w:line="360" w:lineRule="auto"/>
      </w:pPr>
      <w:r>
        <w:rPr>
          <w:rFonts w:eastAsia="Georgia" w:hAnsi="Georgia" w:cs="Georgia"/>
          <w:b/>
          <w:color w:val="000000"/>
        </w:rPr>
        <w:t>Tag:</w:t>
      </w:r>
      <w:r>
        <w:rPr>
          <w:rFonts w:eastAsia="Georgia" w:hAnsi="Georgia" w:cs="Georgia"/>
          <w:color w:val="000000"/>
        </w:rPr>
        <w:t xml:space="preserve"> Indigenous rights.</w:t>
      </w:r>
    </w:p>
    <w:p w14:paraId="4F3CAFDB" w14:textId="77777777" w:rsidR="00BA780F" w:rsidRDefault="00000000">
      <w:pPr>
        <w:spacing w:after="210" w:line="360" w:lineRule="auto"/>
      </w:pPr>
      <w:r>
        <w:rPr>
          <w:rFonts w:eastAsia="Georgia" w:hAnsi="Georgia" w:cs="Georgia"/>
          <w:b/>
          <w:color w:val="000000"/>
        </w:rPr>
        <w:t>B43. Spice, A. (2018).</w:t>
      </w:r>
      <w:r>
        <w:rPr>
          <w:rFonts w:eastAsia="Georgia" w:hAnsi="Georgia" w:cs="Georgia"/>
          <w:color w:val="000000"/>
        </w:rPr>
        <w:t xml:space="preserve"> Fighting invasive infrastructures: Indigenous relations against pipelines. </w:t>
      </w:r>
      <w:r>
        <w:rPr>
          <w:rFonts w:eastAsia="Georgia" w:hAnsi="Georgia" w:cs="Georgia"/>
          <w:i/>
          <w:color w:val="000000"/>
        </w:rPr>
        <w:t>Environment and Society</w:t>
      </w:r>
      <w:r>
        <w:rPr>
          <w:rFonts w:eastAsia="Georgia" w:hAnsi="Georgia" w:cs="Georgia"/>
          <w:color w:val="000000"/>
        </w:rPr>
        <w:t xml:space="preserve">, </w:t>
      </w:r>
      <w:r>
        <w:rPr>
          <w:rFonts w:eastAsia="Georgia" w:hAnsi="Georgia" w:cs="Georgia"/>
          <w:i/>
          <w:color w:val="000000"/>
        </w:rPr>
        <w:t>9</w:t>
      </w:r>
      <w:r>
        <w:rPr>
          <w:rFonts w:eastAsia="Georgia" w:hAnsi="Georgia" w:cs="Georgia"/>
          <w:color w:val="000000"/>
        </w:rPr>
        <w:t xml:space="preserve">(1), 40–56. </w:t>
      </w:r>
      <w:hyperlink r:id="rId110">
        <w:r>
          <w:rPr>
            <w:rFonts w:ascii="helvetica neue" w:eastAsia="helvetica neue" w:hAnsi="helvetica neue" w:cs="helvetica neue"/>
            <w:u w:val="single"/>
          </w:rPr>
          <w:t>https://doi.org/10.3167/ares.2018.090104</w:t>
        </w:r>
      </w:hyperlink>
    </w:p>
    <w:p w14:paraId="66333973" w14:textId="77777777" w:rsidR="00BA780F" w:rsidRDefault="00000000">
      <w:pPr>
        <w:numPr>
          <w:ilvl w:val="0"/>
          <w:numId w:val="52"/>
        </w:numPr>
        <w:spacing w:before="105" w:after="105" w:line="360" w:lineRule="auto"/>
      </w:pPr>
      <w:r>
        <w:rPr>
          <w:rFonts w:eastAsia="Georgia" w:hAnsi="Georgia" w:cs="Georgia"/>
          <w:color w:val="000000"/>
        </w:rPr>
        <w:t>Theorizes pipelines as "infrastructures of invasion" and critiques "critical infrastructure" discourse. Directly applicable to CO₂ pipeline siting and to how green-energy narratives can shield CCS from scrutiny.</w:t>
      </w:r>
    </w:p>
    <w:p w14:paraId="562FE943" w14:textId="77777777" w:rsidR="00BA780F" w:rsidRDefault="00000000">
      <w:pPr>
        <w:numPr>
          <w:ilvl w:val="0"/>
          <w:numId w:val="52"/>
        </w:numPr>
        <w:spacing w:before="105" w:after="105" w:line="360" w:lineRule="auto"/>
      </w:pPr>
      <w:r>
        <w:rPr>
          <w:rFonts w:eastAsia="Georgia" w:hAnsi="Georgia" w:cs="Georgia"/>
          <w:b/>
          <w:color w:val="000000"/>
        </w:rPr>
        <w:t>Tag:</w:t>
      </w:r>
      <w:r>
        <w:rPr>
          <w:rFonts w:eastAsia="Georgia" w:hAnsi="Georgia" w:cs="Georgia"/>
          <w:color w:val="000000"/>
        </w:rPr>
        <w:t xml:space="preserve"> Indigenous rights; infrastructure siting.</w:t>
      </w:r>
    </w:p>
    <w:p w14:paraId="07148C2E" w14:textId="77777777" w:rsidR="00BA780F" w:rsidRDefault="00000000">
      <w:pPr>
        <w:spacing w:after="210" w:line="360" w:lineRule="auto"/>
      </w:pPr>
      <w:r>
        <w:rPr>
          <w:rFonts w:eastAsia="Georgia" w:hAnsi="Georgia" w:cs="Georgia"/>
          <w:b/>
          <w:color w:val="000000"/>
        </w:rPr>
        <w:t>B44. Schilling-Vacaflor, A. (2017).</w:t>
      </w:r>
      <w:r>
        <w:rPr>
          <w:rFonts w:eastAsia="Georgia" w:hAnsi="Georgia" w:cs="Georgia"/>
          <w:color w:val="000000"/>
        </w:rPr>
        <w:t xml:space="preserve"> Who controls the territory and the resources? Free, prior and informed consent (FPIC) as a contested human rights practice in Bolivia. </w:t>
      </w:r>
      <w:r>
        <w:rPr>
          <w:rFonts w:eastAsia="Georgia" w:hAnsi="Georgia" w:cs="Georgia"/>
          <w:i/>
          <w:color w:val="000000"/>
        </w:rPr>
        <w:t>Third World Quarterly</w:t>
      </w:r>
      <w:r>
        <w:rPr>
          <w:rFonts w:eastAsia="Georgia" w:hAnsi="Georgia" w:cs="Georgia"/>
          <w:color w:val="000000"/>
        </w:rPr>
        <w:t xml:space="preserve">, </w:t>
      </w:r>
      <w:r>
        <w:rPr>
          <w:rFonts w:eastAsia="Georgia" w:hAnsi="Georgia" w:cs="Georgia"/>
          <w:i/>
          <w:color w:val="000000"/>
        </w:rPr>
        <w:t>38</w:t>
      </w:r>
      <w:r>
        <w:rPr>
          <w:rFonts w:eastAsia="Georgia" w:hAnsi="Georgia" w:cs="Georgia"/>
          <w:color w:val="000000"/>
        </w:rPr>
        <w:t xml:space="preserve">(5), 1058–1074. </w:t>
      </w:r>
      <w:hyperlink r:id="rId111">
        <w:r>
          <w:rPr>
            <w:rFonts w:ascii="helvetica neue" w:eastAsia="helvetica neue" w:hAnsi="helvetica neue" w:cs="helvetica neue"/>
            <w:u w:val="single"/>
          </w:rPr>
          <w:t>https://doi.org/10.1080/01436597.2016.1238761</w:t>
        </w:r>
      </w:hyperlink>
    </w:p>
    <w:p w14:paraId="3A527636" w14:textId="77777777" w:rsidR="00BA780F" w:rsidRDefault="00000000">
      <w:pPr>
        <w:numPr>
          <w:ilvl w:val="0"/>
          <w:numId w:val="53"/>
        </w:numPr>
        <w:spacing w:before="105" w:after="105" w:line="360" w:lineRule="auto"/>
      </w:pPr>
      <w:r>
        <w:rPr>
          <w:rFonts w:eastAsia="Georgia" w:hAnsi="Georgia" w:cs="Georgia"/>
          <w:color w:val="000000"/>
        </w:rPr>
        <w:t>Empirical analysis of FPIC implementation; shows that formal FPIC without jurisdictional power often reduces to consultation. Essential for arguing that CCS consultation requirements must be backed by structural authority for Indigenous nations.</w:t>
      </w:r>
    </w:p>
    <w:p w14:paraId="088DC39F" w14:textId="77777777" w:rsidR="00BA780F" w:rsidRDefault="00000000">
      <w:pPr>
        <w:numPr>
          <w:ilvl w:val="0"/>
          <w:numId w:val="53"/>
        </w:numPr>
        <w:spacing w:before="105" w:after="105" w:line="360" w:lineRule="auto"/>
      </w:pPr>
      <w:r>
        <w:rPr>
          <w:rFonts w:eastAsia="Georgia" w:hAnsi="Georgia" w:cs="Georgia"/>
          <w:b/>
          <w:color w:val="000000"/>
        </w:rPr>
        <w:t>Tag:</w:t>
      </w:r>
      <w:r>
        <w:rPr>
          <w:rFonts w:eastAsia="Georgia" w:hAnsi="Georgia" w:cs="Georgia"/>
          <w:color w:val="000000"/>
        </w:rPr>
        <w:t xml:space="preserve"> Indigenous rights; FPIC.</w:t>
      </w:r>
    </w:p>
    <w:p w14:paraId="4196619C" w14:textId="77777777" w:rsidR="00BA780F" w:rsidRDefault="00000000">
      <w:pPr>
        <w:spacing w:after="210" w:line="360" w:lineRule="auto"/>
      </w:pPr>
      <w:r>
        <w:rPr>
          <w:rFonts w:eastAsia="Georgia" w:hAnsi="Georgia" w:cs="Georgia"/>
          <w:b/>
          <w:color w:val="000000"/>
        </w:rPr>
        <w:t>B45. Temper, L. (2019).</w:t>
      </w:r>
      <w:r>
        <w:rPr>
          <w:rFonts w:eastAsia="Georgia" w:hAnsi="Georgia" w:cs="Georgia"/>
          <w:color w:val="000000"/>
        </w:rPr>
        <w:t xml:space="preserve"> Blocking pipelines, unsettling environmental justice: From rights of nature to responsibility to territory. </w:t>
      </w:r>
      <w:r>
        <w:rPr>
          <w:rFonts w:eastAsia="Georgia" w:hAnsi="Georgia" w:cs="Georgia"/>
          <w:i/>
          <w:color w:val="000000"/>
        </w:rPr>
        <w:t>Local Environment</w:t>
      </w:r>
      <w:r>
        <w:rPr>
          <w:rFonts w:eastAsia="Georgia" w:hAnsi="Georgia" w:cs="Georgia"/>
          <w:color w:val="000000"/>
        </w:rPr>
        <w:t xml:space="preserve">, </w:t>
      </w:r>
      <w:r>
        <w:rPr>
          <w:rFonts w:eastAsia="Georgia" w:hAnsi="Georgia" w:cs="Georgia"/>
          <w:i/>
          <w:color w:val="000000"/>
        </w:rPr>
        <w:t>24</w:t>
      </w:r>
      <w:r>
        <w:rPr>
          <w:rFonts w:eastAsia="Georgia" w:hAnsi="Georgia" w:cs="Georgia"/>
          <w:color w:val="000000"/>
        </w:rPr>
        <w:t xml:space="preserve">(2), 94–112. </w:t>
      </w:r>
      <w:hyperlink r:id="rId112">
        <w:r>
          <w:rPr>
            <w:rFonts w:ascii="helvetica neue" w:eastAsia="helvetica neue" w:hAnsi="helvetica neue" w:cs="helvetica neue"/>
            <w:u w:val="single"/>
          </w:rPr>
          <w:t>https://doi.org/10.1080/13549839.2018.1536698</w:t>
        </w:r>
      </w:hyperlink>
    </w:p>
    <w:p w14:paraId="412B7603" w14:textId="77777777" w:rsidR="00BA780F" w:rsidRDefault="00000000">
      <w:pPr>
        <w:numPr>
          <w:ilvl w:val="0"/>
          <w:numId w:val="54"/>
        </w:numPr>
        <w:spacing w:before="105" w:after="105" w:line="360" w:lineRule="auto"/>
      </w:pPr>
      <w:r>
        <w:rPr>
          <w:rFonts w:eastAsia="Georgia" w:hAnsi="Georgia" w:cs="Georgia"/>
          <w:color w:val="000000"/>
        </w:rPr>
        <w:t>Unist'ot'en case study of self-determined FPIC; proposes "responsibility to territory" as decolonial reframing of EJ. Empirical model of Indigenous nations operating their own consent protocols outside state-led processes.</w:t>
      </w:r>
    </w:p>
    <w:p w14:paraId="3B5B30D9" w14:textId="77777777" w:rsidR="00BA780F" w:rsidRDefault="00000000">
      <w:pPr>
        <w:numPr>
          <w:ilvl w:val="0"/>
          <w:numId w:val="54"/>
        </w:numPr>
        <w:spacing w:before="105" w:after="105" w:line="360" w:lineRule="auto"/>
      </w:pPr>
      <w:r>
        <w:rPr>
          <w:rFonts w:eastAsia="Georgia" w:hAnsi="Georgia" w:cs="Georgia"/>
          <w:b/>
          <w:color w:val="000000"/>
        </w:rPr>
        <w:t>Tag:</w:t>
      </w:r>
      <w:r>
        <w:rPr>
          <w:rFonts w:eastAsia="Georgia" w:hAnsi="Georgia" w:cs="Georgia"/>
          <w:color w:val="000000"/>
        </w:rPr>
        <w:t xml:space="preserve"> Indigenous rights; FPIC.</w:t>
      </w:r>
    </w:p>
    <w:p w14:paraId="346DD3EB" w14:textId="77777777" w:rsidR="00BA780F" w:rsidRDefault="00000000">
      <w:pPr>
        <w:spacing w:after="210" w:line="360" w:lineRule="auto"/>
      </w:pPr>
      <w:r>
        <w:rPr>
          <w:rFonts w:eastAsia="Georgia" w:hAnsi="Georgia" w:cs="Georgia"/>
          <w:b/>
          <w:color w:val="000000"/>
        </w:rPr>
        <w:t>B46. Awāsis, S. (2020).</w:t>
      </w:r>
      <w:r>
        <w:rPr>
          <w:rFonts w:eastAsia="Georgia" w:hAnsi="Georgia" w:cs="Georgia"/>
          <w:color w:val="000000"/>
        </w:rPr>
        <w:t xml:space="preserve"> Gwaabaw: Applying Anishinaabe harvesting protocols to energy governance. </w:t>
      </w:r>
      <w:r>
        <w:rPr>
          <w:rFonts w:eastAsia="Georgia" w:hAnsi="Georgia" w:cs="Georgia"/>
          <w:i/>
          <w:color w:val="000000"/>
        </w:rPr>
        <w:t>Canadian Geographies / Géographies canadiennes</w:t>
      </w:r>
      <w:r>
        <w:rPr>
          <w:rFonts w:eastAsia="Georgia" w:hAnsi="Georgia" w:cs="Georgia"/>
          <w:color w:val="000000"/>
        </w:rPr>
        <w:t xml:space="preserve">, </w:t>
      </w:r>
      <w:r>
        <w:rPr>
          <w:rFonts w:eastAsia="Georgia" w:hAnsi="Georgia" w:cs="Georgia"/>
          <w:i/>
          <w:color w:val="000000"/>
        </w:rPr>
        <w:t>65</w:t>
      </w:r>
      <w:r>
        <w:rPr>
          <w:rFonts w:eastAsia="Georgia" w:hAnsi="Georgia" w:cs="Georgia"/>
          <w:color w:val="000000"/>
        </w:rPr>
        <w:t xml:space="preserve">(1), 8–23. </w:t>
      </w:r>
      <w:hyperlink r:id="rId113">
        <w:r>
          <w:rPr>
            <w:rFonts w:ascii="helvetica neue" w:eastAsia="helvetica neue" w:hAnsi="helvetica neue" w:cs="helvetica neue"/>
            <w:u w:val="single"/>
          </w:rPr>
          <w:t>https://doi.org/10.1111/cag.12615</w:t>
        </w:r>
      </w:hyperlink>
    </w:p>
    <w:p w14:paraId="7467A51A" w14:textId="77777777" w:rsidR="00BA780F" w:rsidRDefault="00000000">
      <w:pPr>
        <w:numPr>
          <w:ilvl w:val="0"/>
          <w:numId w:val="55"/>
        </w:numPr>
        <w:spacing w:before="105" w:after="105" w:line="360" w:lineRule="auto"/>
      </w:pPr>
      <w:r>
        <w:rPr>
          <w:rFonts w:eastAsia="Georgia" w:hAnsi="Georgia" w:cs="Georgia"/>
          <w:color w:val="000000"/>
        </w:rPr>
        <w:t>Operationalizes Anishinaabe legal traditions (rights, responsibility, relationality, reciprocity) for energy governance, using Line 3 as case. Concrete example of Indigenous-led governance frameworks for energy infrastructure, including potential CCS analogs.</w:t>
      </w:r>
    </w:p>
    <w:p w14:paraId="4735C244" w14:textId="77777777" w:rsidR="00BA780F" w:rsidRDefault="00000000">
      <w:pPr>
        <w:numPr>
          <w:ilvl w:val="0"/>
          <w:numId w:val="55"/>
        </w:numPr>
        <w:spacing w:before="105" w:after="105" w:line="360" w:lineRule="auto"/>
      </w:pPr>
      <w:r>
        <w:rPr>
          <w:rFonts w:eastAsia="Georgia" w:hAnsi="Georgia" w:cs="Georgia"/>
          <w:b/>
          <w:color w:val="000000"/>
        </w:rPr>
        <w:t>Tag:</w:t>
      </w:r>
      <w:r>
        <w:rPr>
          <w:rFonts w:eastAsia="Georgia" w:hAnsi="Georgia" w:cs="Georgia"/>
          <w:color w:val="000000"/>
        </w:rPr>
        <w:t xml:space="preserve"> Indigenous rights.</w:t>
      </w:r>
    </w:p>
    <w:p w14:paraId="746A933A" w14:textId="77777777" w:rsidR="00BA780F" w:rsidRDefault="00000000">
      <w:pPr>
        <w:spacing w:after="210" w:line="360" w:lineRule="auto"/>
      </w:pPr>
      <w:r>
        <w:rPr>
          <w:rFonts w:eastAsia="Georgia" w:hAnsi="Georgia" w:cs="Georgia"/>
          <w:b/>
          <w:color w:val="000000"/>
        </w:rPr>
        <w:t>B47. Alexander, C., &amp; Stanley, A. (2022).</w:t>
      </w:r>
      <w:r>
        <w:rPr>
          <w:rFonts w:eastAsia="Georgia" w:hAnsi="Georgia" w:cs="Georgia"/>
          <w:color w:val="000000"/>
        </w:rPr>
        <w:t xml:space="preserve"> The colonialism of carbon capture and storage in Alberta's Tar Sands. </w:t>
      </w:r>
      <w:r>
        <w:rPr>
          <w:rFonts w:eastAsia="Georgia" w:hAnsi="Georgia" w:cs="Georgia"/>
          <w:i/>
          <w:color w:val="000000"/>
        </w:rPr>
        <w:t>Environment and Planning E: Nature and Space</w:t>
      </w:r>
      <w:r>
        <w:rPr>
          <w:rFonts w:eastAsia="Georgia" w:hAnsi="Georgia" w:cs="Georgia"/>
          <w:color w:val="000000"/>
        </w:rPr>
        <w:t xml:space="preserve">, </w:t>
      </w:r>
      <w:r>
        <w:rPr>
          <w:rFonts w:eastAsia="Georgia" w:hAnsi="Georgia" w:cs="Georgia"/>
          <w:i/>
          <w:color w:val="000000"/>
        </w:rPr>
        <w:t>5</w:t>
      </w:r>
      <w:r>
        <w:rPr>
          <w:rFonts w:eastAsia="Georgia" w:hAnsi="Georgia" w:cs="Georgia"/>
          <w:color w:val="000000"/>
        </w:rPr>
        <w:t xml:space="preserve">(4), 2112–2131. </w:t>
      </w:r>
      <w:hyperlink r:id="rId114">
        <w:r>
          <w:rPr>
            <w:rFonts w:ascii="helvetica neue" w:eastAsia="helvetica neue" w:hAnsi="helvetica neue" w:cs="helvetica neue"/>
            <w:u w:val="single"/>
          </w:rPr>
          <w:t>https://doi.org/10.1177/25148486211052875</w:t>
        </w:r>
      </w:hyperlink>
    </w:p>
    <w:p w14:paraId="379F00D2" w14:textId="77777777" w:rsidR="00BA780F" w:rsidRDefault="00000000">
      <w:pPr>
        <w:numPr>
          <w:ilvl w:val="0"/>
          <w:numId w:val="56"/>
        </w:numPr>
        <w:spacing w:before="105" w:after="105" w:line="360" w:lineRule="auto"/>
      </w:pPr>
      <w:r>
        <w:rPr>
          <w:rFonts w:eastAsia="Georgia" w:hAnsi="Georgia" w:cs="Georgia"/>
          <w:color w:val="000000"/>
        </w:rPr>
        <w:t xml:space="preserve">The single most directly relevant peer-reviewed article: theorizes CCS in Alberta as a "colonial flanking mechanism" legitimizing extraction on Indigenous lands. </w:t>
      </w:r>
      <w:r>
        <w:rPr>
          <w:rFonts w:eastAsia="Georgia" w:hAnsi="Georgia" w:cs="Georgia"/>
          <w:b/>
          <w:color w:val="000000"/>
        </w:rPr>
        <w:t>Must be engaged centrally</w:t>
      </w:r>
      <w:r>
        <w:rPr>
          <w:rFonts w:eastAsia="Georgia" w:hAnsi="Georgia" w:cs="Georgia"/>
          <w:color w:val="000000"/>
        </w:rPr>
        <w:t xml:space="preserve"> — it is the only peer-reviewed paper applying a settler-colonial analytic to CCS.</w:t>
      </w:r>
    </w:p>
    <w:p w14:paraId="69EF4FBA" w14:textId="77777777" w:rsidR="00BA780F" w:rsidRDefault="00000000">
      <w:pPr>
        <w:numPr>
          <w:ilvl w:val="0"/>
          <w:numId w:val="56"/>
        </w:numPr>
        <w:spacing w:before="105" w:after="105" w:line="360" w:lineRule="auto"/>
      </w:pPr>
      <w:r>
        <w:rPr>
          <w:rFonts w:eastAsia="Georgia" w:hAnsi="Georgia" w:cs="Georgia"/>
          <w:b/>
          <w:color w:val="000000"/>
        </w:rPr>
        <w:t>Tag:</w:t>
      </w:r>
      <w:r>
        <w:rPr>
          <w:rFonts w:eastAsia="Georgia" w:hAnsi="Georgia" w:cs="Georgia"/>
          <w:color w:val="000000"/>
        </w:rPr>
        <w:t xml:space="preserve"> Indigenous rights; CCS.</w:t>
      </w:r>
    </w:p>
    <w:p w14:paraId="1CD291CD" w14:textId="77777777" w:rsidR="00BA780F" w:rsidRDefault="00000000">
      <w:pPr>
        <w:spacing w:before="315" w:after="105" w:line="360" w:lineRule="auto"/>
        <w:ind w:left="-30"/>
      </w:pPr>
      <w:bookmarkStart w:id="18" w:name="stream_6_governance_framing_exper_3f99b7"/>
      <w:r>
        <w:rPr>
          <w:rFonts w:eastAsia="Georgia" w:hAnsi="Georgia" w:cs="Georgia"/>
          <w:b/>
          <w:color w:val="000000"/>
          <w:sz w:val="24"/>
        </w:rPr>
        <w:t>Stream 6 — Governance framing experiments (methodological precedents — also covered in Part E)</w:t>
      </w:r>
      <w:bookmarkEnd w:id="18"/>
    </w:p>
    <w:p w14:paraId="55302948" w14:textId="77777777" w:rsidR="00BA780F" w:rsidRDefault="00000000">
      <w:pPr>
        <w:spacing w:after="210" w:line="360" w:lineRule="auto"/>
      </w:pPr>
      <w:r>
        <w:rPr>
          <w:rFonts w:eastAsia="Georgia" w:hAnsi="Georgia" w:cs="Georgia"/>
          <w:b/>
          <w:color w:val="000000"/>
        </w:rPr>
        <w:t>B48. Whitmarsh, L., Xenias, D., &amp; Jones, C. R. (2019).</w:t>
      </w:r>
      <w:r>
        <w:rPr>
          <w:rFonts w:eastAsia="Georgia" w:hAnsi="Georgia" w:cs="Georgia"/>
          <w:color w:val="000000"/>
        </w:rPr>
        <w:t xml:space="preserve"> Framing effects on public support for carbon capture and storage. </w:t>
      </w:r>
      <w:r>
        <w:rPr>
          <w:rFonts w:eastAsia="Georgia" w:hAnsi="Georgia" w:cs="Georgia"/>
          <w:i/>
          <w:color w:val="000000"/>
        </w:rPr>
        <w:t>Palgrave Communications</w:t>
      </w:r>
      <w:r>
        <w:rPr>
          <w:rFonts w:eastAsia="Georgia" w:hAnsi="Georgia" w:cs="Georgia"/>
          <w:color w:val="000000"/>
        </w:rPr>
        <w:t xml:space="preserve">, </w:t>
      </w:r>
      <w:r>
        <w:rPr>
          <w:rFonts w:eastAsia="Georgia" w:hAnsi="Georgia" w:cs="Georgia"/>
          <w:i/>
          <w:color w:val="000000"/>
        </w:rPr>
        <w:t>5</w:t>
      </w:r>
      <w:r>
        <w:rPr>
          <w:rFonts w:eastAsia="Georgia" w:hAnsi="Georgia" w:cs="Georgia"/>
          <w:color w:val="000000"/>
        </w:rPr>
        <w:t xml:space="preserve">(1), 17. </w:t>
      </w:r>
      <w:hyperlink r:id="rId115">
        <w:r>
          <w:rPr>
            <w:rFonts w:ascii="helvetica neue" w:eastAsia="helvetica neue" w:hAnsi="helvetica neue" w:cs="helvetica neue"/>
            <w:u w:val="single"/>
          </w:rPr>
          <w:t>https://doi.org/10.1057/s41599-019-0217-x</w:t>
        </w:r>
      </w:hyperlink>
    </w:p>
    <w:p w14:paraId="33AC97C2" w14:textId="77777777" w:rsidR="00BA780F" w:rsidRDefault="00000000">
      <w:pPr>
        <w:numPr>
          <w:ilvl w:val="0"/>
          <w:numId w:val="57"/>
        </w:numPr>
        <w:spacing w:before="105" w:after="105" w:line="360" w:lineRule="auto"/>
      </w:pPr>
      <w:r>
        <w:rPr>
          <w:rFonts w:eastAsia="Georgia" w:hAnsi="Georgia" w:cs="Georgia"/>
          <w:color w:val="000000"/>
        </w:rPr>
        <w:t>Cross-national experimental study (N &gt; 2,000) showing CCS frame interacts with national context and values. Methodological precedent for frame-manipulation experiments on CCS.</w:t>
      </w:r>
    </w:p>
    <w:p w14:paraId="7F46B6D4" w14:textId="77777777" w:rsidR="00BA780F" w:rsidRDefault="00000000">
      <w:pPr>
        <w:numPr>
          <w:ilvl w:val="0"/>
          <w:numId w:val="57"/>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 CCS.</w:t>
      </w:r>
    </w:p>
    <w:p w14:paraId="56E0DC8C" w14:textId="77777777" w:rsidR="00BA780F" w:rsidRDefault="00000000">
      <w:pPr>
        <w:spacing w:after="210" w:line="360" w:lineRule="auto"/>
      </w:pPr>
      <w:r>
        <w:rPr>
          <w:rFonts w:eastAsia="Georgia" w:hAnsi="Georgia" w:cs="Georgia"/>
          <w:b/>
          <w:color w:val="000000"/>
        </w:rPr>
        <w:t>B49. Anders, S., Liebe, U., &amp; Meyerhoff, J. (2024).</w:t>
      </w:r>
      <w:r>
        <w:rPr>
          <w:rFonts w:eastAsia="Georgia" w:hAnsi="Georgia" w:cs="Georgia"/>
          <w:color w:val="000000"/>
        </w:rPr>
        <w:t xml:space="preserve"> Cross-border CO₂ transport decreases public acceptance of carbon capture and storage. </w:t>
      </w:r>
      <w:r>
        <w:rPr>
          <w:rFonts w:eastAsia="Georgia" w:hAnsi="Georgia" w:cs="Georgia"/>
          <w:i/>
          <w:color w:val="000000"/>
        </w:rPr>
        <w:t>Nature Climate Change</w:t>
      </w:r>
      <w:r>
        <w:rPr>
          <w:rFonts w:eastAsia="Georgia" w:hAnsi="Georgia" w:cs="Georgia"/>
          <w:color w:val="000000"/>
        </w:rPr>
        <w:t xml:space="preserve">, </w:t>
      </w:r>
      <w:r>
        <w:rPr>
          <w:rFonts w:eastAsia="Georgia" w:hAnsi="Georgia" w:cs="Georgia"/>
          <w:i/>
          <w:color w:val="000000"/>
        </w:rPr>
        <w:t>14</w:t>
      </w:r>
      <w:r>
        <w:rPr>
          <w:rFonts w:eastAsia="Georgia" w:hAnsi="Georgia" w:cs="Georgia"/>
          <w:color w:val="000000"/>
        </w:rPr>
        <w:t xml:space="preserve">(7), 692–695. </w:t>
      </w:r>
      <w:hyperlink r:id="rId116">
        <w:r>
          <w:rPr>
            <w:rFonts w:ascii="helvetica neue" w:eastAsia="helvetica neue" w:hAnsi="helvetica neue" w:cs="helvetica neue"/>
            <w:u w:val="single"/>
          </w:rPr>
          <w:t>https://doi.org/10.1038/s41558-024-02023-0</w:t>
        </w:r>
      </w:hyperlink>
    </w:p>
    <w:p w14:paraId="0B79D8AE" w14:textId="77777777" w:rsidR="00BA780F" w:rsidRDefault="00000000">
      <w:pPr>
        <w:numPr>
          <w:ilvl w:val="0"/>
          <w:numId w:val="58"/>
        </w:numPr>
        <w:spacing w:before="105" w:after="105" w:line="360" w:lineRule="auto"/>
      </w:pPr>
      <w:r>
        <w:rPr>
          <w:rFonts w:eastAsia="Georgia" w:hAnsi="Georgia" w:cs="Georgia"/>
          <w:color w:val="000000"/>
        </w:rPr>
        <w:t>Multifactorial vignette experiment in five countries; fairness perceptions (not compensation) drive CCS acceptance. The most methodologically aligned precedent for the manuscript's vignette design.</w:t>
      </w:r>
    </w:p>
    <w:p w14:paraId="5C7A3B50" w14:textId="77777777" w:rsidR="00BA780F" w:rsidRDefault="00000000">
      <w:pPr>
        <w:numPr>
          <w:ilvl w:val="0"/>
          <w:numId w:val="58"/>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 CCS.</w:t>
      </w:r>
    </w:p>
    <w:p w14:paraId="58425D6E" w14:textId="77777777" w:rsidR="00BA780F" w:rsidRDefault="00000000">
      <w:pPr>
        <w:spacing w:after="210" w:line="360" w:lineRule="auto"/>
      </w:pPr>
      <w:r>
        <w:rPr>
          <w:rFonts w:eastAsia="Georgia" w:hAnsi="Georgia" w:cs="Georgia"/>
          <w:b/>
          <w:color w:val="000000"/>
        </w:rPr>
        <w:t>B50. Pianta, S., Rinscheid, A., &amp; Weber, E. U. (2021).</w:t>
      </w:r>
      <w:r>
        <w:rPr>
          <w:rFonts w:eastAsia="Georgia" w:hAnsi="Georgia" w:cs="Georgia"/>
          <w:color w:val="000000"/>
        </w:rPr>
        <w:t xml:space="preserve"> Carbon capture and storage in the United States: Perceptions, preferences, and lessons for policy. </w:t>
      </w:r>
      <w:r>
        <w:rPr>
          <w:rFonts w:eastAsia="Georgia" w:hAnsi="Georgia" w:cs="Georgia"/>
          <w:i/>
          <w:color w:val="000000"/>
        </w:rPr>
        <w:t>Energy Policy</w:t>
      </w:r>
      <w:r>
        <w:rPr>
          <w:rFonts w:eastAsia="Georgia" w:hAnsi="Georgia" w:cs="Georgia"/>
          <w:color w:val="000000"/>
        </w:rPr>
        <w:t xml:space="preserve">, </w:t>
      </w:r>
      <w:r>
        <w:rPr>
          <w:rFonts w:eastAsia="Georgia" w:hAnsi="Georgia" w:cs="Georgia"/>
          <w:i/>
          <w:color w:val="000000"/>
        </w:rPr>
        <w:t>151</w:t>
      </w:r>
      <w:r>
        <w:rPr>
          <w:rFonts w:eastAsia="Georgia" w:hAnsi="Georgia" w:cs="Georgia"/>
          <w:color w:val="000000"/>
        </w:rPr>
        <w:t xml:space="preserve">, 112149. </w:t>
      </w:r>
      <w:hyperlink r:id="rId117">
        <w:r>
          <w:rPr>
            <w:rFonts w:ascii="helvetica neue" w:eastAsia="helvetica neue" w:hAnsi="helvetica neue" w:cs="helvetica neue"/>
            <w:u w:val="single"/>
          </w:rPr>
          <w:t>https://doi.org/10.1016/j.enpol.2021.112149</w:t>
        </w:r>
      </w:hyperlink>
    </w:p>
    <w:p w14:paraId="050717FC" w14:textId="77777777" w:rsidR="00BA780F" w:rsidRDefault="00000000">
      <w:pPr>
        <w:numPr>
          <w:ilvl w:val="0"/>
          <w:numId w:val="59"/>
        </w:numPr>
        <w:spacing w:before="105" w:after="105" w:line="360" w:lineRule="auto"/>
      </w:pPr>
      <w:r>
        <w:rPr>
          <w:rFonts w:eastAsia="Georgia" w:hAnsi="Georgia" w:cs="Georgia"/>
          <w:color w:val="000000"/>
        </w:rPr>
        <w:t>US conjoint experiment varying policy instrument, cost, proximity, and co-benefits. Demonstrates US feasibility of conjoint methods for CCS governance frames.</w:t>
      </w:r>
    </w:p>
    <w:p w14:paraId="7C2FDBE9" w14:textId="77777777" w:rsidR="00BA780F" w:rsidRDefault="00000000">
      <w:pPr>
        <w:numPr>
          <w:ilvl w:val="0"/>
          <w:numId w:val="59"/>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 CCS.</w:t>
      </w:r>
    </w:p>
    <w:p w14:paraId="531470C8" w14:textId="77777777" w:rsidR="00BA780F" w:rsidRDefault="00000000">
      <w:pPr>
        <w:spacing w:after="210" w:line="360" w:lineRule="auto"/>
      </w:pPr>
      <w:r>
        <w:rPr>
          <w:rFonts w:eastAsia="Georgia" w:hAnsi="Georgia" w:cs="Georgia"/>
          <w:b/>
          <w:color w:val="000000"/>
        </w:rPr>
        <w:t>B51. Demski, C., Butler, C., Parkhill, K. A., Spence, A., &amp; Pidgeon, N. F. (2015).</w:t>
      </w:r>
      <w:r>
        <w:rPr>
          <w:rFonts w:eastAsia="Georgia" w:hAnsi="Georgia" w:cs="Georgia"/>
          <w:color w:val="000000"/>
        </w:rPr>
        <w:t xml:space="preserve"> Public values for energy system change. </w:t>
      </w:r>
      <w:r>
        <w:rPr>
          <w:rFonts w:eastAsia="Georgia" w:hAnsi="Georgia" w:cs="Georgia"/>
          <w:i/>
          <w:color w:val="000000"/>
        </w:rPr>
        <w:t>Global Environmental Change</w:t>
      </w:r>
      <w:r>
        <w:rPr>
          <w:rFonts w:eastAsia="Georgia" w:hAnsi="Georgia" w:cs="Georgia"/>
          <w:color w:val="000000"/>
        </w:rPr>
        <w:t xml:space="preserve">, </w:t>
      </w:r>
      <w:r>
        <w:rPr>
          <w:rFonts w:eastAsia="Georgia" w:hAnsi="Georgia" w:cs="Georgia"/>
          <w:i/>
          <w:color w:val="000000"/>
        </w:rPr>
        <w:t>34</w:t>
      </w:r>
      <w:r>
        <w:rPr>
          <w:rFonts w:eastAsia="Georgia" w:hAnsi="Georgia" w:cs="Georgia"/>
          <w:color w:val="000000"/>
        </w:rPr>
        <w:t xml:space="preserve">, 59–69. </w:t>
      </w:r>
      <w:hyperlink r:id="rId118">
        <w:r>
          <w:rPr>
            <w:rFonts w:ascii="helvetica neue" w:eastAsia="helvetica neue" w:hAnsi="helvetica neue" w:cs="helvetica neue"/>
            <w:u w:val="single"/>
          </w:rPr>
          <w:t>https://doi.org/10.1016/j.gloenvcha.2015.06.014</w:t>
        </w:r>
      </w:hyperlink>
    </w:p>
    <w:p w14:paraId="52377B4D" w14:textId="77777777" w:rsidR="00BA780F" w:rsidRDefault="00000000">
      <w:pPr>
        <w:numPr>
          <w:ilvl w:val="0"/>
          <w:numId w:val="60"/>
        </w:numPr>
        <w:spacing w:before="105" w:after="105" w:line="360" w:lineRule="auto"/>
      </w:pPr>
      <w:r>
        <w:rPr>
          <w:rFonts w:eastAsia="Georgia" w:hAnsi="Georgia" w:cs="Georgia"/>
          <w:color w:val="000000"/>
        </w:rPr>
        <w:t>Mixed-methods UK study identifying "processes and change" (procedural voice) as a core value cluster shaping energy acceptability. Empirical evidence that procedural values are a distinct, measurable driver — not reducible to outcomes.</w:t>
      </w:r>
    </w:p>
    <w:p w14:paraId="3582203A" w14:textId="77777777" w:rsidR="00BA780F" w:rsidRDefault="00000000">
      <w:pPr>
        <w:numPr>
          <w:ilvl w:val="0"/>
          <w:numId w:val="60"/>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 values.</w:t>
      </w:r>
    </w:p>
    <w:p w14:paraId="5C1B1015" w14:textId="77777777" w:rsidR="00BA780F" w:rsidRDefault="00000000">
      <w:pPr>
        <w:spacing w:after="210" w:line="360" w:lineRule="auto"/>
      </w:pPr>
      <w:r>
        <w:rPr>
          <w:rFonts w:eastAsia="Georgia" w:hAnsi="Georgia" w:cs="Georgia"/>
          <w:b/>
          <w:color w:val="000000"/>
        </w:rPr>
        <w:t>B52. Liebe, U., Bartczak, A., &amp; Meyerhoff, J. (2017).</w:t>
      </w:r>
      <w:r>
        <w:rPr>
          <w:rFonts w:eastAsia="Georgia" w:hAnsi="Georgia" w:cs="Georgia"/>
          <w:color w:val="000000"/>
        </w:rPr>
        <w:t xml:space="preserve"> A turbine is not only a turbine: The role of social context and fairness characteristics for the local acceptance of wind power. </w:t>
      </w:r>
      <w:r>
        <w:rPr>
          <w:rFonts w:eastAsia="Georgia" w:hAnsi="Georgia" w:cs="Georgia"/>
          <w:i/>
          <w:color w:val="000000"/>
        </w:rPr>
        <w:t>Energy Policy</w:t>
      </w:r>
      <w:r>
        <w:rPr>
          <w:rFonts w:eastAsia="Georgia" w:hAnsi="Georgia" w:cs="Georgia"/>
          <w:color w:val="000000"/>
        </w:rPr>
        <w:t xml:space="preserve">, </w:t>
      </w:r>
      <w:r>
        <w:rPr>
          <w:rFonts w:eastAsia="Georgia" w:hAnsi="Georgia" w:cs="Georgia"/>
          <w:i/>
          <w:color w:val="000000"/>
        </w:rPr>
        <w:t>107</w:t>
      </w:r>
      <w:r>
        <w:rPr>
          <w:rFonts w:eastAsia="Georgia" w:hAnsi="Georgia" w:cs="Georgia"/>
          <w:color w:val="000000"/>
        </w:rPr>
        <w:t xml:space="preserve">, 300–308. </w:t>
      </w:r>
      <w:hyperlink r:id="rId119">
        <w:r>
          <w:rPr>
            <w:rFonts w:ascii="helvetica neue" w:eastAsia="helvetica neue" w:hAnsi="helvetica neue" w:cs="helvetica neue"/>
            <w:u w:val="single"/>
          </w:rPr>
          <w:t>https://doi.org/10.1016/j.enpol.2017.04.043</w:t>
        </w:r>
      </w:hyperlink>
    </w:p>
    <w:p w14:paraId="1544EC9E" w14:textId="77777777" w:rsidR="00BA780F" w:rsidRDefault="00000000">
      <w:pPr>
        <w:numPr>
          <w:ilvl w:val="0"/>
          <w:numId w:val="61"/>
        </w:numPr>
        <w:spacing w:before="105" w:after="105" w:line="360" w:lineRule="auto"/>
      </w:pPr>
      <w:r>
        <w:rPr>
          <w:rFonts w:eastAsia="Georgia" w:hAnsi="Georgia" w:cs="Georgia"/>
          <w:color w:val="000000"/>
        </w:rPr>
        <w:t>German factorial survey: procedural participation and cooperative ownership independently raise wind acceptance after controlling for proximity and financial benefits. Direct methodological model for the manuscript.</w:t>
      </w:r>
    </w:p>
    <w:p w14:paraId="10362DF6" w14:textId="77777777" w:rsidR="00BA780F" w:rsidRDefault="00000000">
      <w:pPr>
        <w:numPr>
          <w:ilvl w:val="0"/>
          <w:numId w:val="61"/>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 wind.</w:t>
      </w:r>
    </w:p>
    <w:p w14:paraId="098DF190" w14:textId="77777777" w:rsidR="00BA780F" w:rsidRDefault="00000000">
      <w:pPr>
        <w:spacing w:after="210" w:line="360" w:lineRule="auto"/>
      </w:pPr>
      <w:r>
        <w:rPr>
          <w:rFonts w:eastAsia="Georgia" w:hAnsi="Georgia" w:cs="Georgia"/>
          <w:b/>
          <w:color w:val="000000"/>
        </w:rPr>
        <w:t>B53. Liebe, U., &amp; Dobers, G. M. (2020).</w:t>
      </w:r>
      <w:r>
        <w:rPr>
          <w:rFonts w:eastAsia="Georgia" w:hAnsi="Georgia" w:cs="Georgia"/>
          <w:color w:val="000000"/>
        </w:rPr>
        <w:t xml:space="preserve"> Measurement of fairness perceptions in energy transition research: A factorial survey approach. </w:t>
      </w:r>
      <w:r>
        <w:rPr>
          <w:rFonts w:eastAsia="Georgia" w:hAnsi="Georgia" w:cs="Georgia"/>
          <w:i/>
          <w:color w:val="000000"/>
        </w:rPr>
        <w:t>Sustainability</w:t>
      </w:r>
      <w:r>
        <w:rPr>
          <w:rFonts w:eastAsia="Georgia" w:hAnsi="Georgia" w:cs="Georgia"/>
          <w:color w:val="000000"/>
        </w:rPr>
        <w:t xml:space="preserve">, </w:t>
      </w:r>
      <w:r>
        <w:rPr>
          <w:rFonts w:eastAsia="Georgia" w:hAnsi="Georgia" w:cs="Georgia"/>
          <w:i/>
          <w:color w:val="000000"/>
        </w:rPr>
        <w:t>12</w:t>
      </w:r>
      <w:r>
        <w:rPr>
          <w:rFonts w:eastAsia="Georgia" w:hAnsi="Georgia" w:cs="Georgia"/>
          <w:color w:val="000000"/>
        </w:rPr>
        <w:t xml:space="preserve">(19), 8084. </w:t>
      </w:r>
      <w:hyperlink r:id="rId120">
        <w:r>
          <w:rPr>
            <w:rFonts w:ascii="helvetica neue" w:eastAsia="helvetica neue" w:hAnsi="helvetica neue" w:cs="helvetica neue"/>
            <w:u w:val="single"/>
          </w:rPr>
          <w:t>https://doi.org/10.3390/su12198084</w:t>
        </w:r>
      </w:hyperlink>
    </w:p>
    <w:p w14:paraId="2578E7D2" w14:textId="77777777" w:rsidR="00BA780F" w:rsidRDefault="00000000">
      <w:pPr>
        <w:numPr>
          <w:ilvl w:val="0"/>
          <w:numId w:val="62"/>
        </w:numPr>
        <w:spacing w:before="105" w:after="105" w:line="360" w:lineRule="auto"/>
      </w:pPr>
      <w:r>
        <w:rPr>
          <w:rFonts w:eastAsia="Georgia" w:hAnsi="Georgia" w:cs="Georgia"/>
          <w:color w:val="000000"/>
        </w:rPr>
        <w:t>Methodological paper demonstrating that procedural and distributive fairness are empirically separable in vignette designs. The clearest template for measuring procedural fairness as an outcome.</w:t>
      </w:r>
    </w:p>
    <w:p w14:paraId="2A623A35" w14:textId="77777777" w:rsidR="00BA780F" w:rsidRDefault="00000000">
      <w:pPr>
        <w:numPr>
          <w:ilvl w:val="0"/>
          <w:numId w:val="62"/>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 method.</w:t>
      </w:r>
    </w:p>
    <w:p w14:paraId="155FD1B5" w14:textId="77777777" w:rsidR="00BA780F" w:rsidRDefault="00000000">
      <w:pPr>
        <w:spacing w:after="210" w:line="360" w:lineRule="auto"/>
      </w:pPr>
      <w:r>
        <w:rPr>
          <w:rFonts w:eastAsia="Georgia" w:hAnsi="Georgia" w:cs="Georgia"/>
          <w:b/>
          <w:color w:val="000000"/>
        </w:rPr>
        <w:t>B54. Walker, B. J. A., Wiersma, B., &amp; Bailey, E. (2014).</w:t>
      </w:r>
      <w:r>
        <w:rPr>
          <w:rFonts w:eastAsia="Georgia" w:hAnsi="Georgia" w:cs="Georgia"/>
          <w:color w:val="000000"/>
        </w:rPr>
        <w:t xml:space="preserve"> Community benefits, framing and the social acceptance of offshore wind farms: An experimental study in England. </w:t>
      </w:r>
      <w:r>
        <w:rPr>
          <w:rFonts w:eastAsia="Georgia" w:hAnsi="Georgia" w:cs="Georgia"/>
          <w:i/>
          <w:color w:val="000000"/>
        </w:rPr>
        <w:t>Energy Research &amp; Social Science</w:t>
      </w:r>
      <w:r>
        <w:rPr>
          <w:rFonts w:eastAsia="Georgia" w:hAnsi="Georgia" w:cs="Georgia"/>
          <w:color w:val="000000"/>
        </w:rPr>
        <w:t xml:space="preserve">, </w:t>
      </w:r>
      <w:r>
        <w:rPr>
          <w:rFonts w:eastAsia="Georgia" w:hAnsi="Georgia" w:cs="Georgia"/>
          <w:i/>
          <w:color w:val="000000"/>
        </w:rPr>
        <w:t>3</w:t>
      </w:r>
      <w:r>
        <w:rPr>
          <w:rFonts w:eastAsia="Georgia" w:hAnsi="Georgia" w:cs="Georgia"/>
          <w:color w:val="000000"/>
        </w:rPr>
        <w:t xml:space="preserve">, 46–54. </w:t>
      </w:r>
      <w:hyperlink r:id="rId121">
        <w:r>
          <w:rPr>
            <w:rFonts w:ascii="helvetica neue" w:eastAsia="helvetica neue" w:hAnsi="helvetica neue" w:cs="helvetica neue"/>
            <w:u w:val="single"/>
          </w:rPr>
          <w:t>https://doi.org/10.1016/j.erss.2014.07.003</w:t>
        </w:r>
      </w:hyperlink>
    </w:p>
    <w:p w14:paraId="17FCC70D" w14:textId="77777777" w:rsidR="00BA780F" w:rsidRDefault="00000000">
      <w:pPr>
        <w:numPr>
          <w:ilvl w:val="0"/>
          <w:numId w:val="63"/>
        </w:numPr>
        <w:spacing w:before="105" w:after="105" w:line="360" w:lineRule="auto"/>
      </w:pPr>
      <w:r>
        <w:rPr>
          <w:rFonts w:eastAsia="Georgia" w:hAnsi="Georgia" w:cs="Georgia"/>
          <w:color w:val="000000"/>
        </w:rPr>
        <w:t>Experimental evidence that consultation framing raises acceptance and that late-stage compensation framed as "bribe" produces a boomerang effect. Powerful precedent for testing consultation-sequencing frames in CCS.</w:t>
      </w:r>
    </w:p>
    <w:p w14:paraId="576CFD56" w14:textId="77777777" w:rsidR="00BA780F" w:rsidRDefault="00000000">
      <w:pPr>
        <w:numPr>
          <w:ilvl w:val="0"/>
          <w:numId w:val="63"/>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 wind.</w:t>
      </w:r>
    </w:p>
    <w:p w14:paraId="0B3FAE40" w14:textId="77777777" w:rsidR="00BA780F" w:rsidRDefault="00000000">
      <w:pPr>
        <w:spacing w:after="210" w:line="360" w:lineRule="auto"/>
      </w:pPr>
      <w:r>
        <w:rPr>
          <w:rFonts w:eastAsia="Georgia" w:hAnsi="Georgia" w:cs="Georgia"/>
          <w:b/>
          <w:color w:val="000000"/>
        </w:rPr>
        <w:t>B55. Firestone, J., Hirt, C., Bidwell, D., Gardner, M., &amp; Dwyer, J. (2020).</w:t>
      </w:r>
      <w:r>
        <w:rPr>
          <w:rFonts w:eastAsia="Georgia" w:hAnsi="Georgia" w:cs="Georgia"/>
          <w:color w:val="000000"/>
        </w:rPr>
        <w:t xml:space="preserve"> Faring well in offshore wind power siting? Trust, engagement and process fairness in the United States. </w:t>
      </w:r>
      <w:r>
        <w:rPr>
          <w:rFonts w:eastAsia="Georgia" w:hAnsi="Georgia" w:cs="Georgia"/>
          <w:i/>
          <w:color w:val="000000"/>
        </w:rPr>
        <w:t>Energy Research &amp; Social Science</w:t>
      </w:r>
      <w:r>
        <w:rPr>
          <w:rFonts w:eastAsia="Georgia" w:hAnsi="Georgia" w:cs="Georgia"/>
          <w:color w:val="000000"/>
        </w:rPr>
        <w:t xml:space="preserve">, </w:t>
      </w:r>
      <w:r>
        <w:rPr>
          <w:rFonts w:eastAsia="Georgia" w:hAnsi="Georgia" w:cs="Georgia"/>
          <w:i/>
          <w:color w:val="000000"/>
        </w:rPr>
        <w:t>62</w:t>
      </w:r>
      <w:r>
        <w:rPr>
          <w:rFonts w:eastAsia="Georgia" w:hAnsi="Georgia" w:cs="Georgia"/>
          <w:color w:val="000000"/>
        </w:rPr>
        <w:t xml:space="preserve">, 101393. </w:t>
      </w:r>
      <w:hyperlink r:id="rId122">
        <w:r>
          <w:rPr>
            <w:rFonts w:ascii="helvetica neue" w:eastAsia="helvetica neue" w:hAnsi="helvetica neue" w:cs="helvetica neue"/>
            <w:u w:val="single"/>
          </w:rPr>
          <w:t>https://doi.org/10.1016/j.erss.2019.101393</w:t>
        </w:r>
      </w:hyperlink>
    </w:p>
    <w:p w14:paraId="250C9735" w14:textId="77777777" w:rsidR="00BA780F" w:rsidRDefault="00000000">
      <w:pPr>
        <w:numPr>
          <w:ilvl w:val="0"/>
          <w:numId w:val="64"/>
        </w:numPr>
        <w:spacing w:before="105" w:after="105" w:line="360" w:lineRule="auto"/>
      </w:pPr>
      <w:r>
        <w:rPr>
          <w:rFonts w:eastAsia="Georgia" w:hAnsi="Georgia" w:cs="Georgia"/>
          <w:color w:val="000000"/>
        </w:rPr>
        <w:t>Block Island longitudinal survey: trust in state government → perceived process fairness → project support, even controlling for visual exposure. US-based empirical instantiation of the manuscript's causal chain.</w:t>
      </w:r>
    </w:p>
    <w:p w14:paraId="6F118A71" w14:textId="77777777" w:rsidR="00BA780F" w:rsidRDefault="00000000">
      <w:pPr>
        <w:numPr>
          <w:ilvl w:val="0"/>
          <w:numId w:val="64"/>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 SEM.</w:t>
      </w:r>
    </w:p>
    <w:p w14:paraId="0EF9081D" w14:textId="77777777" w:rsidR="00BA780F" w:rsidRDefault="00000000">
      <w:pPr>
        <w:spacing w:after="210" w:line="360" w:lineRule="auto"/>
      </w:pPr>
      <w:r>
        <w:rPr>
          <w:rFonts w:eastAsia="Georgia" w:hAnsi="Georgia" w:cs="Georgia"/>
          <w:b/>
          <w:color w:val="000000"/>
        </w:rPr>
        <w:t>B56. Chewinski, M., Anders, S., &amp; Parkins, J. R. (2023).</w:t>
      </w:r>
      <w:r>
        <w:rPr>
          <w:rFonts w:eastAsia="Georgia" w:hAnsi="Georgia" w:cs="Georgia"/>
          <w:color w:val="000000"/>
        </w:rPr>
        <w:t xml:space="preserve"> Agricultural landowner perspectives on wind energy development in Alberta, Canada: Insights from the lens of energy justice and democracy. </w:t>
      </w:r>
      <w:r>
        <w:rPr>
          <w:rFonts w:eastAsia="Georgia" w:hAnsi="Georgia" w:cs="Georgia"/>
          <w:i/>
          <w:color w:val="000000"/>
        </w:rPr>
        <w:t>Environmental Sociology</w:t>
      </w:r>
      <w:r>
        <w:rPr>
          <w:rFonts w:eastAsia="Georgia" w:hAnsi="Georgia" w:cs="Georgia"/>
          <w:color w:val="000000"/>
        </w:rPr>
        <w:t xml:space="preserve">, </w:t>
      </w:r>
      <w:r>
        <w:rPr>
          <w:rFonts w:eastAsia="Georgia" w:hAnsi="Georgia" w:cs="Georgia"/>
          <w:i/>
          <w:color w:val="000000"/>
        </w:rPr>
        <w:t>9</w:t>
      </w:r>
      <w:r>
        <w:rPr>
          <w:rFonts w:eastAsia="Georgia" w:hAnsi="Georgia" w:cs="Georgia"/>
          <w:color w:val="000000"/>
        </w:rPr>
        <w:t xml:space="preserve">(4), 477–489. </w:t>
      </w:r>
      <w:hyperlink r:id="rId123">
        <w:r>
          <w:rPr>
            <w:rFonts w:ascii="helvetica neue" w:eastAsia="helvetica neue" w:hAnsi="helvetica neue" w:cs="helvetica neue"/>
            <w:u w:val="single"/>
          </w:rPr>
          <w:t>https://doi.org/10.1080/23251042.2023.2247627</w:t>
        </w:r>
      </w:hyperlink>
    </w:p>
    <w:p w14:paraId="02B90C24" w14:textId="77777777" w:rsidR="00BA780F" w:rsidRDefault="00000000">
      <w:pPr>
        <w:numPr>
          <w:ilvl w:val="0"/>
          <w:numId w:val="65"/>
        </w:numPr>
        <w:spacing w:before="105" w:after="105" w:line="360" w:lineRule="auto"/>
      </w:pPr>
      <w:r>
        <w:rPr>
          <w:rFonts w:eastAsia="Georgia" w:hAnsi="Georgia" w:cs="Georgia"/>
          <w:color w:val="000000"/>
        </w:rPr>
        <w:t>Factorial survey of 401 Alberta agricultural landowners; latent classes show a property-rights/procedural opposition class is distinct from a benefits-driven class. Directly relevant to the manuscript's interest in landowner-status moderation and property-rights framing.</w:t>
      </w:r>
    </w:p>
    <w:p w14:paraId="10137F1F" w14:textId="77777777" w:rsidR="00BA780F" w:rsidRDefault="00000000">
      <w:pPr>
        <w:numPr>
          <w:ilvl w:val="0"/>
          <w:numId w:val="65"/>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 landowner.</w:t>
      </w:r>
    </w:p>
    <w:p w14:paraId="57008B06" w14:textId="77777777" w:rsidR="00BA780F" w:rsidRDefault="00000000">
      <w:pPr>
        <w:spacing w:after="210" w:line="360" w:lineRule="auto"/>
      </w:pPr>
      <w:r>
        <w:rPr>
          <w:rFonts w:eastAsia="Georgia" w:hAnsi="Georgia" w:cs="Georgia"/>
          <w:b/>
          <w:color w:val="000000"/>
        </w:rPr>
        <w:t>B57. Bergquist, M. (2024).</w:t>
      </w:r>
      <w:r>
        <w:rPr>
          <w:rFonts w:eastAsia="Georgia" w:hAnsi="Georgia" w:cs="Georgia"/>
          <w:color w:val="000000"/>
        </w:rPr>
        <w:t xml:space="preserve"> Limiting support for environmental policies: Unfairness is a more critical barrier than cost and ineffectiveness. </w:t>
      </w:r>
      <w:r>
        <w:rPr>
          <w:rFonts w:eastAsia="Georgia" w:hAnsi="Georgia" w:cs="Georgia"/>
          <w:i/>
          <w:color w:val="000000"/>
        </w:rPr>
        <w:t>Ambio</w:t>
      </w:r>
      <w:r>
        <w:rPr>
          <w:rFonts w:eastAsia="Georgia" w:hAnsi="Georgia" w:cs="Georgia"/>
          <w:color w:val="000000"/>
        </w:rPr>
        <w:t xml:space="preserve">, </w:t>
      </w:r>
      <w:r>
        <w:rPr>
          <w:rFonts w:eastAsia="Georgia" w:hAnsi="Georgia" w:cs="Georgia"/>
          <w:i/>
          <w:color w:val="000000"/>
        </w:rPr>
        <w:t>54</w:t>
      </w:r>
      <w:r>
        <w:rPr>
          <w:rFonts w:eastAsia="Georgia" w:hAnsi="Georgia" w:cs="Georgia"/>
          <w:color w:val="000000"/>
        </w:rPr>
        <w:t xml:space="preserve">(2), 350–363. </w:t>
      </w:r>
      <w:hyperlink r:id="rId124">
        <w:r>
          <w:rPr>
            <w:rFonts w:ascii="helvetica neue" w:eastAsia="helvetica neue" w:hAnsi="helvetica neue" w:cs="helvetica neue"/>
            <w:u w:val="single"/>
          </w:rPr>
          <w:t>https://doi.org/10.1007/s13280-024-02074-9</w:t>
        </w:r>
      </w:hyperlink>
    </w:p>
    <w:p w14:paraId="4AE24FF4" w14:textId="77777777" w:rsidR="00BA780F" w:rsidRDefault="00000000">
      <w:pPr>
        <w:numPr>
          <w:ilvl w:val="0"/>
          <w:numId w:val="66"/>
        </w:numPr>
        <w:spacing w:before="105" w:after="105" w:line="360" w:lineRule="auto"/>
      </w:pPr>
      <w:r>
        <w:rPr>
          <w:rFonts w:eastAsia="Georgia" w:hAnsi="Georgia" w:cs="Georgia"/>
          <w:color w:val="000000"/>
        </w:rPr>
        <w:t>Multi-country experiments (USA, UK, India) show distributive and procedural unfairness reduce policy support more than cost or ineffectiveness, and erode trust downstream. Strong contemporary evidence for the dominance of fairness frames.</w:t>
      </w:r>
    </w:p>
    <w:p w14:paraId="67221742" w14:textId="77777777" w:rsidR="00BA780F" w:rsidRDefault="00000000">
      <w:pPr>
        <w:numPr>
          <w:ilvl w:val="0"/>
          <w:numId w:val="66"/>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w:t>
      </w:r>
    </w:p>
    <w:p w14:paraId="21E33417" w14:textId="77777777" w:rsidR="00BA780F" w:rsidRDefault="00000000">
      <w:pPr>
        <w:spacing w:after="210" w:line="360" w:lineRule="auto"/>
      </w:pPr>
      <w:r>
        <w:rPr>
          <w:rFonts w:eastAsia="Georgia" w:hAnsi="Georgia" w:cs="Georgia"/>
          <w:b/>
          <w:color w:val="000000"/>
        </w:rPr>
        <w:t>B58. Boudet, H. S. (2019).</w:t>
      </w:r>
      <w:r>
        <w:rPr>
          <w:rFonts w:eastAsia="Georgia" w:hAnsi="Georgia" w:cs="Georgia"/>
          <w:color w:val="000000"/>
        </w:rPr>
        <w:t xml:space="preserve"> Public perceptions of and responses to new energy technologies. </w:t>
      </w:r>
      <w:r>
        <w:rPr>
          <w:rFonts w:eastAsia="Georgia" w:hAnsi="Georgia" w:cs="Georgia"/>
          <w:i/>
          <w:color w:val="000000"/>
        </w:rPr>
        <w:t>Nature Energy</w:t>
      </w:r>
      <w:r>
        <w:rPr>
          <w:rFonts w:eastAsia="Georgia" w:hAnsi="Georgia" w:cs="Georgia"/>
          <w:color w:val="000000"/>
        </w:rPr>
        <w:t xml:space="preserve">, </w:t>
      </w:r>
      <w:r>
        <w:rPr>
          <w:rFonts w:eastAsia="Georgia" w:hAnsi="Georgia" w:cs="Georgia"/>
          <w:i/>
          <w:color w:val="000000"/>
        </w:rPr>
        <w:t>4</w:t>
      </w:r>
      <w:r>
        <w:rPr>
          <w:rFonts w:eastAsia="Georgia" w:hAnsi="Georgia" w:cs="Georgia"/>
          <w:color w:val="000000"/>
        </w:rPr>
        <w:t xml:space="preserve">(6), 446–455. </w:t>
      </w:r>
      <w:hyperlink r:id="rId125">
        <w:r>
          <w:rPr>
            <w:rFonts w:ascii="helvetica neue" w:eastAsia="helvetica neue" w:hAnsi="helvetica neue" w:cs="helvetica neue"/>
            <w:u w:val="single"/>
          </w:rPr>
          <w:t>https://doi.org/10.1038/s41560-019-0399-x</w:t>
        </w:r>
      </w:hyperlink>
    </w:p>
    <w:p w14:paraId="24522C86" w14:textId="77777777" w:rsidR="00BA780F" w:rsidRDefault="00000000">
      <w:pPr>
        <w:numPr>
          <w:ilvl w:val="0"/>
          <w:numId w:val="67"/>
        </w:numPr>
        <w:spacing w:before="105" w:after="105" w:line="360" w:lineRule="auto"/>
      </w:pPr>
      <w:r>
        <w:rPr>
          <w:rFonts w:eastAsia="Georgia" w:hAnsi="Georgia" w:cs="Georgia"/>
          <w:color w:val="000000"/>
        </w:rPr>
        <w:t>Review identifying governance, trust, place identity, and fairness as cross-cutting predictors of opposition across energy technologies. Authoritative synthesis that justifies focusing the manuscript on governance frames.</w:t>
      </w:r>
    </w:p>
    <w:p w14:paraId="7F82E62B" w14:textId="77777777" w:rsidR="00BA780F" w:rsidRDefault="00000000">
      <w:pPr>
        <w:numPr>
          <w:ilvl w:val="0"/>
          <w:numId w:val="67"/>
        </w:numPr>
        <w:spacing w:before="105" w:after="105" w:line="360" w:lineRule="auto"/>
      </w:pPr>
      <w:r>
        <w:rPr>
          <w:rFonts w:eastAsia="Georgia" w:hAnsi="Georgia" w:cs="Georgia"/>
          <w:b/>
          <w:color w:val="000000"/>
        </w:rPr>
        <w:t>Tag:</w:t>
      </w:r>
      <w:r>
        <w:rPr>
          <w:rFonts w:eastAsia="Georgia" w:hAnsi="Georgia" w:cs="Georgia"/>
          <w:color w:val="000000"/>
        </w:rPr>
        <w:t xml:space="preserve"> Governance framing; review.</w:t>
      </w:r>
    </w:p>
    <w:p w14:paraId="5BC5097D" w14:textId="77777777" w:rsidR="00BA780F" w:rsidRDefault="00000000">
      <w:pPr>
        <w:spacing w:after="210" w:line="360" w:lineRule="auto"/>
        <w:ind w:left="630"/>
      </w:pPr>
      <w:r>
        <w:rPr>
          <w:rFonts w:eastAsia="Georgia" w:hAnsi="Georgia" w:cs="Georgia"/>
          <w:b/>
          <w:color w:val="000000"/>
        </w:rPr>
        <w:t>Total verified sources in core set: 51</w:t>
      </w:r>
      <w:r>
        <w:rPr>
          <w:rFonts w:eastAsia="Georgia" w:hAnsi="Georgia" w:cs="Georgia"/>
          <w:color w:val="000000"/>
        </w:rPr>
        <w:t xml:space="preserve"> (B1–B58 excluding duplicates of Moffat &amp; Zhang and Gough et al. across streams). With Estes (2019), Gilio-Whitaker (2019), and McCauley et al. (2013) flagged for citation-style notes (book ISBN; uncertain DOI).</w:t>
      </w:r>
    </w:p>
    <w:p w14:paraId="3109E2A4" w14:textId="77777777" w:rsidR="00BA780F" w:rsidRDefault="00000000">
      <w:pPr>
        <w:spacing w:before="210" w:after="0" w:line="360" w:lineRule="auto"/>
      </w:pPr>
      <w:r>
        <w:rPr>
          <w:noProof/>
        </w:rPr>
      </w:r>
      <w:r>
        <w:rPr>
          <w:noProof/>
        </w:rPr>
        <w:pict w14:anchorId="65F38058">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488C6F" w14:textId="77777777" w:rsidR="00BA780F" w:rsidRDefault="00000000">
      <w:pPr>
        <w:spacing w:before="315" w:after="105" w:line="360" w:lineRule="auto"/>
        <w:ind w:left="-30"/>
      </w:pPr>
      <w:bookmarkStart w:id="19" w:name="c_per_source_thematic_tagging_com_9ec335"/>
      <w:r>
        <w:rPr>
          <w:rFonts w:eastAsia="Georgia" w:hAnsi="Georgia" w:cs="Georgia"/>
          <w:b/>
          <w:color w:val="000000"/>
          <w:sz w:val="24"/>
        </w:rPr>
        <w:t>C. Per-source thematic tagging (compact reference)</w:t>
      </w:r>
      <w:bookmarkEnd w:id="19"/>
    </w:p>
    <w:p w14:paraId="71407CE0" w14:textId="77777777" w:rsidR="00BA780F" w:rsidRDefault="00000000">
      <w:pPr>
        <w:spacing w:after="210" w:line="360" w:lineRule="auto"/>
      </w:pPr>
      <w:r>
        <w:rPr>
          <w:rFonts w:eastAsia="Georgia" w:hAnsi="Georgia" w:cs="Georgia"/>
          <w:color w:val="000000"/>
        </w:rPr>
        <w:t>For quick orientation when drafting, the dominant thematic category for each core source is shown below (full per-source annotation is in the workspace files):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66"/>
        <w:gridCol w:w="4597"/>
      </w:tblGrid>
      <w:tr w:rsidR="00BA780F" w14:paraId="43FF47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03958F" w14:textId="77777777" w:rsidR="00BA780F" w:rsidRDefault="00000000">
            <w:pPr>
              <w:spacing w:line="360" w:lineRule="auto"/>
            </w:pPr>
            <w:r>
              <w:rPr>
                <w:rFonts w:ascii="helvetica neue" w:eastAsia="helvetica neue" w:hAnsi="helvetica neue" w:cs="helvetica neue"/>
                <w:color w:val="000000"/>
                <w:sz w:val="17"/>
              </w:rPr>
              <w:t>Theme</w:t>
            </w:r>
          </w:p>
        </w:tc>
        <w:tc>
          <w:tcPr>
            <w:tcW w:w="0" w:type="auto"/>
            <w:tcBorders>
              <w:top w:val="single" w:sz="1" w:space="0" w:color="000000"/>
              <w:bottom w:val="single" w:sz="1" w:space="0" w:color="000000"/>
            </w:tcBorders>
          </w:tcPr>
          <w:p w14:paraId="6E8D7646" w14:textId="77777777" w:rsidR="00BA780F" w:rsidRDefault="00000000">
            <w:pPr>
              <w:spacing w:line="360" w:lineRule="auto"/>
            </w:pPr>
            <w:r>
              <w:rPr>
                <w:rFonts w:ascii="helvetica neue" w:eastAsia="helvetica neue" w:hAnsi="helvetica neue" w:cs="helvetica neue"/>
                <w:color w:val="000000"/>
                <w:sz w:val="17"/>
              </w:rPr>
              <w:t>Sources</w:t>
            </w:r>
          </w:p>
        </w:tc>
      </w:tr>
      <w:tr w:rsidR="00BA780F" w14:paraId="3AD463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7169F2" w14:textId="77777777" w:rsidR="00BA780F" w:rsidRDefault="00000000">
            <w:pPr>
              <w:spacing w:line="360" w:lineRule="auto"/>
            </w:pPr>
            <w:r>
              <w:rPr>
                <w:rFonts w:eastAsia="Georgia" w:hAnsi="Georgia" w:cs="Georgia"/>
                <w:b/>
                <w:color w:val="000000"/>
                <w:sz w:val="17"/>
              </w:rPr>
              <w:t>CCS acceptance</w:t>
            </w:r>
          </w:p>
        </w:tc>
        <w:tc>
          <w:tcPr>
            <w:tcW w:w="0" w:type="auto"/>
            <w:tcBorders>
              <w:top w:val="single" w:sz="1" w:space="0" w:color="000000"/>
              <w:bottom w:val="single" w:sz="1" w:space="0" w:color="000000"/>
            </w:tcBorders>
          </w:tcPr>
          <w:p w14:paraId="20FA3BC9" w14:textId="77777777" w:rsidR="00BA780F" w:rsidRDefault="00000000">
            <w:pPr>
              <w:spacing w:line="360" w:lineRule="auto"/>
            </w:pPr>
            <w:r>
              <w:rPr>
                <w:rFonts w:ascii="helvetica neue" w:eastAsia="helvetica neue" w:hAnsi="helvetica neue" w:cs="helvetica neue"/>
                <w:color w:val="000000"/>
                <w:sz w:val="17"/>
              </w:rPr>
              <w:t>B1, B2, B3, B4, B5, B6, B7, B8, B9, B10, B11</w:t>
            </w:r>
          </w:p>
        </w:tc>
      </w:tr>
      <w:tr w:rsidR="00BA780F" w14:paraId="25B237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05FB95" w14:textId="77777777" w:rsidR="00BA780F" w:rsidRDefault="00000000">
            <w:pPr>
              <w:spacing w:line="360" w:lineRule="auto"/>
            </w:pPr>
            <w:r>
              <w:rPr>
                <w:rFonts w:eastAsia="Georgia" w:hAnsi="Georgia" w:cs="Georgia"/>
                <w:b/>
                <w:color w:val="000000"/>
                <w:sz w:val="17"/>
              </w:rPr>
              <w:t>Infrastructure siting</w:t>
            </w:r>
          </w:p>
        </w:tc>
        <w:tc>
          <w:tcPr>
            <w:tcW w:w="0" w:type="auto"/>
            <w:tcBorders>
              <w:top w:val="single" w:sz="1" w:space="0" w:color="000000"/>
              <w:bottom w:val="single" w:sz="1" w:space="0" w:color="000000"/>
            </w:tcBorders>
          </w:tcPr>
          <w:p w14:paraId="5D912E83" w14:textId="77777777" w:rsidR="00BA780F" w:rsidRDefault="00000000">
            <w:pPr>
              <w:spacing w:line="360" w:lineRule="auto"/>
            </w:pPr>
            <w:r>
              <w:rPr>
                <w:rFonts w:ascii="helvetica neue" w:eastAsia="helvetica neue" w:hAnsi="helvetica neue" w:cs="helvetica neue"/>
                <w:color w:val="000000"/>
                <w:sz w:val="17"/>
              </w:rPr>
              <w:t>B11, B12, B13, B14, B15, B16, B17, B18, B43</w:t>
            </w:r>
          </w:p>
        </w:tc>
      </w:tr>
      <w:tr w:rsidR="00BA780F" w14:paraId="35F4AD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193AD9" w14:textId="77777777" w:rsidR="00BA780F" w:rsidRDefault="00000000">
            <w:pPr>
              <w:spacing w:line="360" w:lineRule="auto"/>
            </w:pPr>
            <w:r>
              <w:rPr>
                <w:rFonts w:eastAsia="Georgia" w:hAnsi="Georgia" w:cs="Georgia"/>
                <w:b/>
                <w:color w:val="000000"/>
                <w:sz w:val="17"/>
              </w:rPr>
              <w:t>Energy justice</w:t>
            </w:r>
          </w:p>
        </w:tc>
        <w:tc>
          <w:tcPr>
            <w:tcW w:w="0" w:type="auto"/>
            <w:tcBorders>
              <w:top w:val="single" w:sz="1" w:space="0" w:color="000000"/>
              <w:bottom w:val="single" w:sz="1" w:space="0" w:color="000000"/>
            </w:tcBorders>
          </w:tcPr>
          <w:p w14:paraId="7FF35AF0" w14:textId="77777777" w:rsidR="00BA780F" w:rsidRDefault="00000000">
            <w:pPr>
              <w:spacing w:line="360" w:lineRule="auto"/>
            </w:pPr>
            <w:r>
              <w:rPr>
                <w:rFonts w:ascii="helvetica neue" w:eastAsia="helvetica neue" w:hAnsi="helvetica neue" w:cs="helvetica neue"/>
                <w:color w:val="000000"/>
                <w:sz w:val="17"/>
              </w:rPr>
              <w:t>B16, B19, B20, B21, B22, B23, B24, B25, B36, B37</w:t>
            </w:r>
          </w:p>
        </w:tc>
      </w:tr>
      <w:tr w:rsidR="00BA780F" w14:paraId="11B486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B70BA2" w14:textId="77777777" w:rsidR="00BA780F" w:rsidRDefault="00000000">
            <w:pPr>
              <w:spacing w:line="360" w:lineRule="auto"/>
            </w:pPr>
            <w:r>
              <w:rPr>
                <w:rFonts w:eastAsia="Georgia" w:hAnsi="Georgia" w:cs="Georgia"/>
                <w:b/>
                <w:color w:val="000000"/>
                <w:sz w:val="17"/>
              </w:rPr>
              <w:t>Procedural justice (theory)</w:t>
            </w:r>
          </w:p>
        </w:tc>
        <w:tc>
          <w:tcPr>
            <w:tcW w:w="0" w:type="auto"/>
            <w:tcBorders>
              <w:top w:val="single" w:sz="1" w:space="0" w:color="000000"/>
              <w:bottom w:val="single" w:sz="1" w:space="0" w:color="000000"/>
            </w:tcBorders>
          </w:tcPr>
          <w:p w14:paraId="3745F428" w14:textId="77777777" w:rsidR="00BA780F" w:rsidRDefault="00000000">
            <w:pPr>
              <w:spacing w:line="360" w:lineRule="auto"/>
            </w:pPr>
            <w:r>
              <w:rPr>
                <w:rFonts w:ascii="helvetica neue" w:eastAsia="helvetica neue" w:hAnsi="helvetica neue" w:cs="helvetica neue"/>
                <w:color w:val="000000"/>
                <w:sz w:val="17"/>
              </w:rPr>
              <w:t>B26 (Tyler) — applied: B31, B53, B55, B57</w:t>
            </w:r>
          </w:p>
        </w:tc>
      </w:tr>
      <w:tr w:rsidR="00BA780F" w14:paraId="52EB9B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9C95F" w14:textId="77777777" w:rsidR="00BA780F" w:rsidRDefault="00000000">
            <w:pPr>
              <w:spacing w:line="360" w:lineRule="auto"/>
            </w:pPr>
            <w:r>
              <w:rPr>
                <w:rFonts w:eastAsia="Georgia" w:hAnsi="Georgia" w:cs="Georgia"/>
                <w:b/>
                <w:color w:val="000000"/>
                <w:sz w:val="17"/>
              </w:rPr>
              <w:t>Recognition justice</w:t>
            </w:r>
          </w:p>
        </w:tc>
        <w:tc>
          <w:tcPr>
            <w:tcW w:w="0" w:type="auto"/>
            <w:tcBorders>
              <w:top w:val="single" w:sz="1" w:space="0" w:color="000000"/>
              <w:bottom w:val="single" w:sz="1" w:space="0" w:color="000000"/>
            </w:tcBorders>
          </w:tcPr>
          <w:p w14:paraId="21FF1C41" w14:textId="77777777" w:rsidR="00BA780F" w:rsidRDefault="00000000">
            <w:pPr>
              <w:spacing w:line="360" w:lineRule="auto"/>
            </w:pPr>
            <w:r>
              <w:rPr>
                <w:rFonts w:ascii="helvetica neue" w:eastAsia="helvetica neue" w:hAnsi="helvetica neue" w:cs="helvetica neue"/>
                <w:color w:val="000000"/>
                <w:sz w:val="17"/>
              </w:rPr>
              <w:t>B25, B27, B38, B40, B42</w:t>
            </w:r>
          </w:p>
        </w:tc>
      </w:tr>
      <w:tr w:rsidR="00BA780F" w14:paraId="5D64F1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C56F3A" w14:textId="77777777" w:rsidR="00BA780F" w:rsidRDefault="00000000">
            <w:pPr>
              <w:spacing w:line="360" w:lineRule="auto"/>
            </w:pPr>
            <w:r>
              <w:rPr>
                <w:rFonts w:eastAsia="Georgia" w:hAnsi="Georgia" w:cs="Georgia"/>
                <w:b/>
                <w:color w:val="000000"/>
                <w:sz w:val="17"/>
              </w:rPr>
              <w:t>Social license</w:t>
            </w:r>
          </w:p>
        </w:tc>
        <w:tc>
          <w:tcPr>
            <w:tcW w:w="0" w:type="auto"/>
            <w:tcBorders>
              <w:top w:val="single" w:sz="1" w:space="0" w:color="000000"/>
              <w:bottom w:val="single" w:sz="1" w:space="0" w:color="000000"/>
            </w:tcBorders>
          </w:tcPr>
          <w:p w14:paraId="3848D6CB" w14:textId="77777777" w:rsidR="00BA780F" w:rsidRDefault="00000000">
            <w:pPr>
              <w:spacing w:line="360" w:lineRule="auto"/>
            </w:pPr>
            <w:r>
              <w:rPr>
                <w:rFonts w:ascii="helvetica neue" w:eastAsia="helvetica neue" w:hAnsi="helvetica neue" w:cs="helvetica neue"/>
                <w:color w:val="000000"/>
                <w:sz w:val="17"/>
              </w:rPr>
              <w:t>B4, B28, B29, B30, B31, B32, B33, B34, B35, B36, B37</w:t>
            </w:r>
          </w:p>
        </w:tc>
      </w:tr>
      <w:tr w:rsidR="00BA780F" w14:paraId="790A4C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958235" w14:textId="77777777" w:rsidR="00BA780F" w:rsidRDefault="00000000">
            <w:pPr>
              <w:spacing w:line="360" w:lineRule="auto"/>
            </w:pPr>
            <w:r>
              <w:rPr>
                <w:rFonts w:eastAsia="Georgia" w:hAnsi="Georgia" w:cs="Georgia"/>
                <w:b/>
                <w:color w:val="000000"/>
                <w:sz w:val="17"/>
              </w:rPr>
              <w:t>Indigenous rights / sovereignty</w:t>
            </w:r>
          </w:p>
        </w:tc>
        <w:tc>
          <w:tcPr>
            <w:tcW w:w="0" w:type="auto"/>
            <w:tcBorders>
              <w:top w:val="single" w:sz="1" w:space="0" w:color="000000"/>
              <w:bottom w:val="single" w:sz="1" w:space="0" w:color="000000"/>
            </w:tcBorders>
          </w:tcPr>
          <w:p w14:paraId="76B0D5E3" w14:textId="77777777" w:rsidR="00BA780F" w:rsidRDefault="00000000">
            <w:pPr>
              <w:spacing w:line="360" w:lineRule="auto"/>
            </w:pPr>
            <w:r>
              <w:rPr>
                <w:rFonts w:ascii="helvetica neue" w:eastAsia="helvetica neue" w:hAnsi="helvetica neue" w:cs="helvetica neue"/>
                <w:color w:val="000000"/>
                <w:sz w:val="17"/>
              </w:rPr>
              <w:t>B34, B38, B39, B40, B41, B42, B43, B44, B45, B46, B47</w:t>
            </w:r>
          </w:p>
        </w:tc>
      </w:tr>
      <w:tr w:rsidR="00BA780F" w14:paraId="5F16FC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33AD9A" w14:textId="77777777" w:rsidR="00BA780F" w:rsidRDefault="00000000">
            <w:pPr>
              <w:spacing w:line="360" w:lineRule="auto"/>
            </w:pPr>
            <w:r>
              <w:rPr>
                <w:rFonts w:eastAsia="Georgia" w:hAnsi="Georgia" w:cs="Georgia"/>
                <w:b/>
                <w:color w:val="000000"/>
                <w:sz w:val="17"/>
              </w:rPr>
              <w:t>Governance framing experiments</w:t>
            </w:r>
          </w:p>
        </w:tc>
        <w:tc>
          <w:tcPr>
            <w:tcW w:w="0" w:type="auto"/>
            <w:tcBorders>
              <w:top w:val="single" w:sz="1" w:space="0" w:color="000000"/>
              <w:bottom w:val="single" w:sz="1" w:space="0" w:color="000000"/>
            </w:tcBorders>
          </w:tcPr>
          <w:p w14:paraId="2897B567" w14:textId="77777777" w:rsidR="00BA780F" w:rsidRDefault="00000000">
            <w:pPr>
              <w:spacing w:line="360" w:lineRule="auto"/>
            </w:pPr>
            <w:r>
              <w:rPr>
                <w:rFonts w:ascii="helvetica neue" w:eastAsia="helvetica neue" w:hAnsi="helvetica neue" w:cs="helvetica neue"/>
                <w:color w:val="000000"/>
                <w:sz w:val="17"/>
              </w:rPr>
              <w:t>B48, B49, B50, B51, B52, B53, B54, B55, B56, B57, B58</w:t>
            </w:r>
          </w:p>
        </w:tc>
      </w:tr>
      <w:tr w:rsidR="00BA780F" w14:paraId="69154A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E90F0F" w14:textId="77777777" w:rsidR="00BA780F" w:rsidRDefault="00000000">
            <w:pPr>
              <w:spacing w:line="360" w:lineRule="auto"/>
            </w:pPr>
            <w:r>
              <w:rPr>
                <w:rFonts w:eastAsia="Georgia" w:hAnsi="Georgia" w:cs="Georgia"/>
                <w:b/>
                <w:color w:val="000000"/>
                <w:sz w:val="17"/>
              </w:rPr>
              <w:t>SEM / path models</w:t>
            </w:r>
          </w:p>
        </w:tc>
        <w:tc>
          <w:tcPr>
            <w:tcW w:w="0" w:type="auto"/>
            <w:tcBorders>
              <w:top w:val="single" w:sz="1" w:space="0" w:color="000000"/>
              <w:bottom w:val="single" w:sz="1" w:space="0" w:color="000000"/>
            </w:tcBorders>
          </w:tcPr>
          <w:p w14:paraId="7AF3767B" w14:textId="77777777" w:rsidR="00BA780F" w:rsidRDefault="00000000">
            <w:pPr>
              <w:spacing w:line="360" w:lineRule="auto"/>
            </w:pPr>
            <w:r>
              <w:rPr>
                <w:rFonts w:ascii="helvetica neue" w:eastAsia="helvetica neue" w:hAnsi="helvetica neue" w:cs="helvetica neue"/>
                <w:color w:val="000000"/>
                <w:sz w:val="17"/>
              </w:rPr>
              <w:t>B10, B31, B55, B57</w:t>
            </w:r>
          </w:p>
        </w:tc>
      </w:tr>
    </w:tbl>
    <w:p w14:paraId="70CBF6DD" w14:textId="77777777" w:rsidR="00BA780F" w:rsidRDefault="00BA780F"/>
    <w:p w14:paraId="5BCA7DE9" w14:textId="77777777" w:rsidR="00BA780F" w:rsidRDefault="00000000">
      <w:pPr>
        <w:spacing w:before="210" w:after="0" w:line="360" w:lineRule="auto"/>
      </w:pPr>
      <w:r>
        <w:rPr>
          <w:noProof/>
        </w:rPr>
      </w:r>
      <w:r>
        <w:rPr>
          <w:noProof/>
        </w:rPr>
        <w:pict w14:anchorId="249505A1">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4D36C7" w14:textId="77777777" w:rsidR="00BA780F" w:rsidRDefault="00000000">
      <w:pPr>
        <w:spacing w:before="315" w:after="105" w:line="360" w:lineRule="auto"/>
        <w:ind w:left="-30"/>
      </w:pPr>
      <w:bookmarkStart w:id="20" w:name="d_theoretical_anchors"/>
      <w:r>
        <w:rPr>
          <w:rFonts w:eastAsia="Georgia" w:hAnsi="Georgia" w:cs="Georgia"/>
          <w:b/>
          <w:color w:val="000000"/>
          <w:sz w:val="24"/>
        </w:rPr>
        <w:t>D. Theoretical anchors</w:t>
      </w:r>
      <w:bookmarkEnd w:id="20"/>
    </w:p>
    <w:p w14:paraId="673B2FAE" w14:textId="77777777" w:rsidR="00BA780F" w:rsidRDefault="00000000">
      <w:pPr>
        <w:spacing w:after="210" w:line="360" w:lineRule="auto"/>
      </w:pPr>
      <w:r>
        <w:rPr>
          <w:rFonts w:eastAsia="Georgia" w:hAnsi="Georgia" w:cs="Georgia"/>
          <w:color w:val="000000"/>
        </w:rPr>
        <w:t xml:space="preserve">Six anchors are recommended. The first three are </w:t>
      </w:r>
      <w:r>
        <w:rPr>
          <w:rFonts w:eastAsia="Georgia" w:hAnsi="Georgia" w:cs="Georgia"/>
          <w:b/>
          <w:color w:val="000000"/>
        </w:rPr>
        <w:t>primary</w:t>
      </w:r>
      <w:r>
        <w:rPr>
          <w:rFonts w:eastAsia="Georgia" w:hAnsi="Georgia" w:cs="Georgia"/>
          <w:color w:val="000000"/>
        </w:rPr>
        <w:t xml:space="preserve"> (carry the manuscript's argument); the next three are </w:t>
      </w:r>
      <w:r>
        <w:rPr>
          <w:rFonts w:eastAsia="Georgia" w:hAnsi="Georgia" w:cs="Georgia"/>
          <w:b/>
          <w:color w:val="000000"/>
        </w:rPr>
        <w:t>supporting</w:t>
      </w:r>
      <w:r>
        <w:rPr>
          <w:rFonts w:eastAsia="Georgia" w:hAnsi="Georgia" w:cs="Georgia"/>
          <w:color w:val="000000"/>
        </w:rPr>
        <w:t xml:space="preserve"> (provide depth without competing for argumentative real estate).</w:t>
      </w:r>
    </w:p>
    <w:p w14:paraId="64A119AD" w14:textId="77777777" w:rsidR="00BA780F" w:rsidRDefault="00000000">
      <w:pPr>
        <w:spacing w:before="315" w:after="105" w:line="360" w:lineRule="auto"/>
        <w:ind w:left="-30"/>
      </w:pPr>
      <w:bookmarkStart w:id="21" w:name="d1_energy_justice_the_three_tenet_eee26f"/>
      <w:r>
        <w:rPr>
          <w:rFonts w:eastAsia="Georgia" w:hAnsi="Georgia" w:cs="Georgia"/>
          <w:b/>
          <w:color w:val="000000"/>
          <w:sz w:val="24"/>
        </w:rPr>
        <w:t>D1. Energy justice — the three-tenet framework (PRIMARY)</w:t>
      </w:r>
      <w:bookmarkEnd w:id="21"/>
    </w:p>
    <w:p w14:paraId="1362EF2C" w14:textId="77777777" w:rsidR="00BA780F" w:rsidRDefault="00000000">
      <w:pPr>
        <w:numPr>
          <w:ilvl w:val="0"/>
          <w:numId w:val="68"/>
        </w:numPr>
        <w:spacing w:before="105" w:after="105" w:line="360" w:lineRule="auto"/>
      </w:pPr>
      <w:r>
        <w:rPr>
          <w:rFonts w:eastAsia="Georgia" w:hAnsi="Georgia" w:cs="Georgia"/>
          <w:b/>
          <w:color w:val="000000"/>
        </w:rPr>
        <w:t>Contribution:</w:t>
      </w:r>
      <w:r>
        <w:rPr>
          <w:rFonts w:eastAsia="Georgia" w:hAnsi="Georgia" w:cs="Georgia"/>
          <w:color w:val="000000"/>
        </w:rPr>
        <w:t xml:space="preserve"> Provides the integrated vocabulary — </w:t>
      </w:r>
      <w:r>
        <w:rPr>
          <w:rFonts w:eastAsia="Georgia" w:hAnsi="Georgia" w:cs="Georgia"/>
          <w:i/>
          <w:color w:val="000000"/>
        </w:rPr>
        <w:t>distributive, procedural, recognition</w:t>
      </w:r>
      <w:r>
        <w:rPr>
          <w:rFonts w:eastAsia="Georgia" w:hAnsi="Georgia" w:cs="Georgia"/>
          <w:color w:val="000000"/>
        </w:rPr>
        <w:t xml:space="preserve"> — for evaluating CCS governance. It is the field's lingua franca in </w:t>
      </w:r>
      <w:r>
        <w:rPr>
          <w:rFonts w:eastAsia="Georgia" w:hAnsi="Georgia" w:cs="Georgia"/>
          <w:i/>
          <w:color w:val="000000"/>
        </w:rPr>
        <w:t>ERSS</w:t>
      </w:r>
      <w:r>
        <w:rPr>
          <w:rFonts w:eastAsia="Georgia" w:hAnsi="Georgia" w:cs="Georgia"/>
          <w:color w:val="000000"/>
        </w:rPr>
        <w:t xml:space="preserve"> and bridges your interest in fairness with the broader policy debate.</w:t>
      </w:r>
    </w:p>
    <w:p w14:paraId="557E1EFC" w14:textId="77777777" w:rsidR="00BA780F" w:rsidRDefault="00000000">
      <w:pPr>
        <w:numPr>
          <w:ilvl w:val="0"/>
          <w:numId w:val="68"/>
        </w:numPr>
        <w:spacing w:before="105" w:after="105" w:line="360" w:lineRule="auto"/>
      </w:pPr>
      <w:r>
        <w:rPr>
          <w:rFonts w:eastAsia="Georgia" w:hAnsi="Georgia" w:cs="Georgia"/>
          <w:b/>
          <w:color w:val="000000"/>
        </w:rPr>
        <w:t>Key authors:</w:t>
      </w:r>
      <w:r>
        <w:rPr>
          <w:rFonts w:eastAsia="Georgia" w:hAnsi="Georgia" w:cs="Georgia"/>
          <w:color w:val="000000"/>
        </w:rPr>
        <w:t xml:space="preserve"> McCauley, Heffron, Stephan &amp; Jenkins (2013); Jenkins, McCauley, Heffron, Stephan &amp; Rehner (2016); Sovacool &amp; Dworkin (2015); Sovacool et al. (2016); Walker &amp; Day (2012); Jenkins, Sovacool &amp; McCauley (2018).</w:t>
      </w:r>
    </w:p>
    <w:p w14:paraId="627785A2" w14:textId="77777777" w:rsidR="00BA780F" w:rsidRDefault="00000000">
      <w:pPr>
        <w:numPr>
          <w:ilvl w:val="0"/>
          <w:numId w:val="68"/>
        </w:numPr>
        <w:spacing w:before="105" w:after="105" w:line="360" w:lineRule="auto"/>
      </w:pPr>
      <w:r>
        <w:rPr>
          <w:rFonts w:eastAsia="Georgia" w:hAnsi="Georgia" w:cs="Georgia"/>
          <w:b/>
          <w:color w:val="000000"/>
        </w:rPr>
        <w:t>Strengths:</w:t>
      </w:r>
      <w:r>
        <w:rPr>
          <w:rFonts w:eastAsia="Georgia" w:hAnsi="Georgia" w:cs="Georgia"/>
          <w:color w:val="000000"/>
        </w:rPr>
        <w:t xml:space="preserve"> Widely accepted in </w:t>
      </w:r>
      <w:r>
        <w:rPr>
          <w:rFonts w:eastAsia="Georgia" w:hAnsi="Georgia" w:cs="Georgia"/>
          <w:i/>
          <w:color w:val="000000"/>
        </w:rPr>
        <w:t>ERSS</w:t>
      </w:r>
      <w:r>
        <w:rPr>
          <w:rFonts w:eastAsia="Georgia" w:hAnsi="Georgia" w:cs="Georgia"/>
          <w:color w:val="000000"/>
        </w:rPr>
        <w:t>; analytically clear; integrates with social license literature (Minadakis &amp; Vega-Araújo, 2024).</w:t>
      </w:r>
    </w:p>
    <w:p w14:paraId="1E4E7AC2" w14:textId="77777777" w:rsidR="00BA780F" w:rsidRDefault="00000000">
      <w:pPr>
        <w:numPr>
          <w:ilvl w:val="0"/>
          <w:numId w:val="68"/>
        </w:numPr>
        <w:spacing w:before="105" w:after="105" w:line="360" w:lineRule="auto"/>
      </w:pPr>
      <w:r>
        <w:rPr>
          <w:rFonts w:eastAsia="Georgia" w:hAnsi="Georgia" w:cs="Georgia"/>
          <w:b/>
          <w:color w:val="000000"/>
        </w:rPr>
        <w:t>Weaknesses:</w:t>
      </w:r>
      <w:r>
        <w:rPr>
          <w:rFonts w:eastAsia="Georgia" w:hAnsi="Georgia" w:cs="Georgia"/>
          <w:color w:val="000000"/>
        </w:rPr>
        <w:t xml:space="preserve"> Has been criticized as Western/liberal in orientation (see Whyte, 2018); needs to be qualified when applied to Indigenous nations.</w:t>
      </w:r>
    </w:p>
    <w:p w14:paraId="43C83553" w14:textId="77777777" w:rsidR="00BA780F" w:rsidRDefault="00000000">
      <w:pPr>
        <w:numPr>
          <w:ilvl w:val="0"/>
          <w:numId w:val="68"/>
        </w:numPr>
        <w:spacing w:before="105" w:after="105" w:line="360" w:lineRule="auto"/>
      </w:pPr>
      <w:r>
        <w:rPr>
          <w:rFonts w:eastAsia="Georgia" w:hAnsi="Georgia" w:cs="Georgia"/>
          <w:b/>
          <w:color w:val="000000"/>
        </w:rPr>
        <w:t>Use:</w:t>
      </w:r>
      <w:r>
        <w:rPr>
          <w:rFonts w:eastAsia="Georgia" w:hAnsi="Georgia" w:cs="Georgia"/>
          <w:color w:val="000000"/>
        </w:rPr>
        <w:t xml:space="preserve"> Primary structural framework — three tenets become observable constructs in the conceptual model.</w:t>
      </w:r>
    </w:p>
    <w:p w14:paraId="72B28A9D" w14:textId="77777777" w:rsidR="00BA780F" w:rsidRDefault="00000000">
      <w:pPr>
        <w:spacing w:before="315" w:after="105" w:line="360" w:lineRule="auto"/>
        <w:ind w:left="-30"/>
      </w:pPr>
      <w:bookmarkStart w:id="22" w:name="d2_procedural_justice_legitimacy_c213fe"/>
      <w:r>
        <w:rPr>
          <w:rFonts w:eastAsia="Georgia" w:hAnsi="Georgia" w:cs="Georgia"/>
          <w:b/>
          <w:color w:val="000000"/>
          <w:sz w:val="24"/>
        </w:rPr>
        <w:t>D2. Procedural justice / legitimacy theory (Tyler) (PRIMARY)</w:t>
      </w:r>
      <w:bookmarkEnd w:id="22"/>
    </w:p>
    <w:p w14:paraId="467CA498" w14:textId="77777777" w:rsidR="00BA780F" w:rsidRDefault="00000000">
      <w:pPr>
        <w:numPr>
          <w:ilvl w:val="0"/>
          <w:numId w:val="69"/>
        </w:numPr>
        <w:spacing w:before="105" w:after="105" w:line="360" w:lineRule="auto"/>
      </w:pPr>
      <w:r>
        <w:rPr>
          <w:rFonts w:eastAsia="Georgia" w:hAnsi="Georgia" w:cs="Georgia"/>
          <w:b/>
          <w:color w:val="000000"/>
        </w:rPr>
        <w:t>Contribution:</w:t>
      </w:r>
      <w:r>
        <w:rPr>
          <w:rFonts w:eastAsia="Georgia" w:hAnsi="Georgia" w:cs="Georgia"/>
          <w:color w:val="000000"/>
        </w:rPr>
        <w:t xml:space="preserve"> Specifies the psychological mechanism by which fair process generates legitimacy and acceptance even of unfavorable outcomes. Provides operational criteria — voice, neutrality, trustworthiness, dignitary treatment — that translate directly into vignette design.</w:t>
      </w:r>
    </w:p>
    <w:p w14:paraId="36C322ED" w14:textId="77777777" w:rsidR="00BA780F" w:rsidRDefault="00000000">
      <w:pPr>
        <w:numPr>
          <w:ilvl w:val="0"/>
          <w:numId w:val="69"/>
        </w:numPr>
        <w:spacing w:before="105" w:after="105" w:line="360" w:lineRule="auto"/>
      </w:pPr>
      <w:r>
        <w:rPr>
          <w:rFonts w:eastAsia="Georgia" w:hAnsi="Georgia" w:cs="Georgia"/>
          <w:b/>
          <w:color w:val="000000"/>
        </w:rPr>
        <w:t>Key authors:</w:t>
      </w:r>
      <w:r>
        <w:rPr>
          <w:rFonts w:eastAsia="Georgia" w:hAnsi="Georgia" w:cs="Georgia"/>
          <w:color w:val="000000"/>
        </w:rPr>
        <w:t xml:space="preserve"> Tyler (2003); applied in Moffat &amp; Zhang (2014); Firestone et al. (2020); Liebe &amp; Dobers (2020); Bergquist (2024).</w:t>
      </w:r>
    </w:p>
    <w:p w14:paraId="771FB16A" w14:textId="77777777" w:rsidR="00BA780F" w:rsidRDefault="00000000">
      <w:pPr>
        <w:numPr>
          <w:ilvl w:val="0"/>
          <w:numId w:val="69"/>
        </w:numPr>
        <w:spacing w:before="105" w:after="105" w:line="360" w:lineRule="auto"/>
      </w:pPr>
      <w:r>
        <w:rPr>
          <w:rFonts w:eastAsia="Georgia" w:hAnsi="Georgia" w:cs="Georgia"/>
          <w:b/>
          <w:color w:val="000000"/>
        </w:rPr>
        <w:t>Strengths:</w:t>
      </w:r>
      <w:r>
        <w:rPr>
          <w:rFonts w:eastAsia="Georgia" w:hAnsi="Georgia" w:cs="Georgia"/>
          <w:color w:val="000000"/>
        </w:rPr>
        <w:t xml:space="preserve"> Mature, well-validated theory with established measurement; fits SEM modeling; explains </w:t>
      </w:r>
      <w:r>
        <w:rPr>
          <w:rFonts w:eastAsia="Georgia" w:hAnsi="Georgia" w:cs="Georgia"/>
          <w:i/>
          <w:color w:val="000000"/>
        </w:rPr>
        <w:t>why</w:t>
      </w:r>
      <w:r>
        <w:rPr>
          <w:rFonts w:eastAsia="Georgia" w:hAnsi="Georgia" w:cs="Georgia"/>
          <w:color w:val="000000"/>
        </w:rPr>
        <w:t xml:space="preserve"> governance frames work.</w:t>
      </w:r>
    </w:p>
    <w:p w14:paraId="15E62F1D" w14:textId="77777777" w:rsidR="00BA780F" w:rsidRDefault="00000000">
      <w:pPr>
        <w:numPr>
          <w:ilvl w:val="0"/>
          <w:numId w:val="69"/>
        </w:numPr>
        <w:spacing w:before="105" w:after="105" w:line="360" w:lineRule="auto"/>
      </w:pPr>
      <w:r>
        <w:rPr>
          <w:rFonts w:eastAsia="Georgia" w:hAnsi="Georgia" w:cs="Georgia"/>
          <w:b/>
          <w:color w:val="000000"/>
        </w:rPr>
        <w:t>Weaknesses:</w:t>
      </w:r>
      <w:r>
        <w:rPr>
          <w:rFonts w:eastAsia="Georgia" w:hAnsi="Georgia" w:cs="Georgia"/>
          <w:color w:val="000000"/>
        </w:rPr>
        <w:t xml:space="preserve"> Largely individual-level and process-focused; cannot by itself address recognition or sovereignty claims.</w:t>
      </w:r>
    </w:p>
    <w:p w14:paraId="3AAA2BE6" w14:textId="77777777" w:rsidR="00BA780F" w:rsidRDefault="00000000">
      <w:pPr>
        <w:numPr>
          <w:ilvl w:val="0"/>
          <w:numId w:val="69"/>
        </w:numPr>
        <w:spacing w:before="105" w:after="105" w:line="360" w:lineRule="auto"/>
      </w:pPr>
      <w:r>
        <w:rPr>
          <w:rFonts w:eastAsia="Georgia" w:hAnsi="Georgia" w:cs="Georgia"/>
          <w:b/>
          <w:color w:val="000000"/>
        </w:rPr>
        <w:t>Use:</w:t>
      </w:r>
      <w:r>
        <w:rPr>
          <w:rFonts w:eastAsia="Georgia" w:hAnsi="Georgia" w:cs="Georgia"/>
          <w:color w:val="000000"/>
        </w:rPr>
        <w:t xml:space="preserve"> Primary causal-mechanism theory anchoring the governance-frame → fairness perception → legitimacy → support pathway.</w:t>
      </w:r>
    </w:p>
    <w:p w14:paraId="2D62F185" w14:textId="77777777" w:rsidR="00BA780F" w:rsidRDefault="00000000">
      <w:pPr>
        <w:spacing w:before="315" w:after="105" w:line="360" w:lineRule="auto"/>
        <w:ind w:left="-30"/>
      </w:pPr>
      <w:bookmarkStart w:id="23" w:name="d3_social_license_to_operate_prim_4c6c22"/>
      <w:r>
        <w:rPr>
          <w:rFonts w:eastAsia="Georgia" w:hAnsi="Georgia" w:cs="Georgia"/>
          <w:b/>
          <w:color w:val="000000"/>
          <w:sz w:val="24"/>
        </w:rPr>
        <w:t>D3. Social license to operate (PRIMARY — but with critical engagement)</w:t>
      </w:r>
      <w:bookmarkEnd w:id="23"/>
    </w:p>
    <w:p w14:paraId="47D8426C" w14:textId="77777777" w:rsidR="00BA780F" w:rsidRDefault="00000000">
      <w:pPr>
        <w:numPr>
          <w:ilvl w:val="0"/>
          <w:numId w:val="70"/>
        </w:numPr>
        <w:spacing w:before="105" w:after="105" w:line="360" w:lineRule="auto"/>
      </w:pPr>
      <w:r>
        <w:rPr>
          <w:rFonts w:eastAsia="Georgia" w:hAnsi="Georgia" w:cs="Georgia"/>
          <w:b/>
          <w:color w:val="000000"/>
        </w:rPr>
        <w:t>Contribution:</w:t>
      </w:r>
      <w:r>
        <w:rPr>
          <w:rFonts w:eastAsia="Georgia" w:hAnsi="Georgia" w:cs="Georgia"/>
          <w:color w:val="000000"/>
        </w:rPr>
        <w:t xml:space="preserve"> Names the gap between regulatory permission and community legitimacy that is the manuscript's empirical target. Has a developed measurement tradition (Moffat &amp; Zhang, 2014; Boutilier).</w:t>
      </w:r>
    </w:p>
    <w:p w14:paraId="4E791189" w14:textId="77777777" w:rsidR="00BA780F" w:rsidRDefault="00000000">
      <w:pPr>
        <w:numPr>
          <w:ilvl w:val="0"/>
          <w:numId w:val="70"/>
        </w:numPr>
        <w:spacing w:before="105" w:after="105" w:line="360" w:lineRule="auto"/>
      </w:pPr>
      <w:r>
        <w:rPr>
          <w:rFonts w:eastAsia="Georgia" w:hAnsi="Georgia" w:cs="Georgia"/>
          <w:b/>
          <w:color w:val="000000"/>
        </w:rPr>
        <w:t>Key authors:</w:t>
      </w:r>
      <w:r>
        <w:rPr>
          <w:rFonts w:eastAsia="Georgia" w:hAnsi="Georgia" w:cs="Georgia"/>
          <w:color w:val="000000"/>
        </w:rPr>
        <w:t xml:space="preserve"> Prno &amp; Slocombe (2012); Moffat &amp; Zhang (2014); Hall et al. (2015); Gough, Cunningham &amp; Mander (2018); Boutilier (2021); Owen &amp; Kemp (2013); Gehman, Lefsrud &amp; Fast (2017); Horowitz et al. (2018); Minadakis &amp; Vega-Araújo (2024); Ó Maonaigh, Fitzgerald &amp; Reilly (2025).</w:t>
      </w:r>
    </w:p>
    <w:p w14:paraId="15A2889E" w14:textId="77777777" w:rsidR="00BA780F" w:rsidRDefault="00000000">
      <w:pPr>
        <w:numPr>
          <w:ilvl w:val="0"/>
          <w:numId w:val="70"/>
        </w:numPr>
        <w:spacing w:before="105" w:after="105" w:line="360" w:lineRule="auto"/>
      </w:pPr>
      <w:r>
        <w:rPr>
          <w:rFonts w:eastAsia="Georgia" w:hAnsi="Georgia" w:cs="Georgia"/>
          <w:b/>
          <w:color w:val="000000"/>
        </w:rPr>
        <w:t>Strengths:</w:t>
      </w:r>
      <w:r>
        <w:rPr>
          <w:rFonts w:eastAsia="Georgia" w:hAnsi="Georgia" w:cs="Georgia"/>
          <w:color w:val="000000"/>
        </w:rPr>
        <w:t xml:space="preserve"> Bridges policy/practice and scholarly literatures; the concept Louisiana developers actively invoke; allows the manuscript to engage industry on its own terms while critiquing them.</w:t>
      </w:r>
    </w:p>
    <w:p w14:paraId="175FD2B1" w14:textId="77777777" w:rsidR="00BA780F" w:rsidRDefault="00000000">
      <w:pPr>
        <w:numPr>
          <w:ilvl w:val="0"/>
          <w:numId w:val="70"/>
        </w:numPr>
        <w:spacing w:before="105" w:after="105" w:line="360" w:lineRule="auto"/>
      </w:pPr>
      <w:r>
        <w:rPr>
          <w:rFonts w:eastAsia="Georgia" w:hAnsi="Georgia" w:cs="Georgia"/>
          <w:b/>
          <w:color w:val="000000"/>
        </w:rPr>
        <w:t>Weaknesses:</w:t>
      </w:r>
      <w:r>
        <w:rPr>
          <w:rFonts w:eastAsia="Georgia" w:hAnsi="Georgia" w:cs="Georgia"/>
          <w:color w:val="000000"/>
        </w:rPr>
        <w:t xml:space="preserve"> Vague boundaries, susceptibility to corporate capture, and a documented inability to handle Indigenous rights frameworks (Horowitz et al., 2018; Boutilier, 2021). The manuscript must explicitly position itself relative to this critique.</w:t>
      </w:r>
    </w:p>
    <w:p w14:paraId="52229A1B" w14:textId="77777777" w:rsidR="00BA780F" w:rsidRDefault="00000000">
      <w:pPr>
        <w:numPr>
          <w:ilvl w:val="0"/>
          <w:numId w:val="70"/>
        </w:numPr>
        <w:spacing w:before="105" w:after="105" w:line="360" w:lineRule="auto"/>
      </w:pPr>
      <w:r>
        <w:rPr>
          <w:rFonts w:eastAsia="Georgia" w:hAnsi="Georgia" w:cs="Georgia"/>
          <w:b/>
          <w:color w:val="000000"/>
        </w:rPr>
        <w:t>Use:</w:t>
      </w:r>
      <w:r>
        <w:rPr>
          <w:rFonts w:eastAsia="Georgia" w:hAnsi="Georgia" w:cs="Georgia"/>
          <w:color w:val="000000"/>
        </w:rPr>
        <w:t xml:space="preserve"> Primary framing concept — but cite Owen &amp; Kemp, Horowitz, and Boutilier to demonstrate critical engagement.</w:t>
      </w:r>
    </w:p>
    <w:p w14:paraId="147ED46E" w14:textId="77777777" w:rsidR="00BA780F" w:rsidRDefault="00000000">
      <w:pPr>
        <w:spacing w:before="315" w:after="105" w:line="360" w:lineRule="auto"/>
        <w:ind w:left="-30"/>
      </w:pPr>
      <w:bookmarkStart w:id="24" w:name="d4_recognition_justice_and_indige_2545a0"/>
      <w:r>
        <w:rPr>
          <w:rFonts w:eastAsia="Georgia" w:hAnsi="Georgia" w:cs="Georgia"/>
          <w:b/>
          <w:color w:val="000000"/>
          <w:sz w:val="24"/>
        </w:rPr>
        <w:t>D4. Recognition justice and Indigenous environmental justice (PRIMARY for the Indigenous-rights section; SUPPORTING overall)</w:t>
      </w:r>
      <w:bookmarkEnd w:id="24"/>
    </w:p>
    <w:p w14:paraId="60A83289" w14:textId="77777777" w:rsidR="00BA780F" w:rsidRDefault="00000000">
      <w:pPr>
        <w:numPr>
          <w:ilvl w:val="0"/>
          <w:numId w:val="71"/>
        </w:numPr>
        <w:spacing w:before="105" w:after="105" w:line="360" w:lineRule="auto"/>
      </w:pPr>
      <w:r>
        <w:rPr>
          <w:rFonts w:eastAsia="Georgia" w:hAnsi="Georgia" w:cs="Georgia"/>
          <w:b/>
          <w:color w:val="000000"/>
        </w:rPr>
        <w:t>Contribution:</w:t>
      </w:r>
      <w:r>
        <w:rPr>
          <w:rFonts w:eastAsia="Georgia" w:hAnsi="Georgia" w:cs="Georgia"/>
          <w:color w:val="000000"/>
        </w:rPr>
        <w:t xml:space="preserve"> Distinguishes Indigenous sovereignty claims from generic stakeholder participation; insists recognition is prior to procedure, not coterminous.</w:t>
      </w:r>
    </w:p>
    <w:p w14:paraId="2FA7A2EA" w14:textId="77777777" w:rsidR="00BA780F" w:rsidRDefault="00000000">
      <w:pPr>
        <w:numPr>
          <w:ilvl w:val="0"/>
          <w:numId w:val="71"/>
        </w:numPr>
        <w:spacing w:before="105" w:after="105" w:line="360" w:lineRule="auto"/>
      </w:pPr>
      <w:r>
        <w:rPr>
          <w:rFonts w:eastAsia="Georgia" w:hAnsi="Georgia" w:cs="Georgia"/>
          <w:b/>
          <w:color w:val="000000"/>
        </w:rPr>
        <w:t>Key authors:</w:t>
      </w:r>
      <w:r>
        <w:rPr>
          <w:rFonts w:eastAsia="Georgia" w:hAnsi="Georgia" w:cs="Georgia"/>
          <w:color w:val="000000"/>
        </w:rPr>
        <w:t xml:space="preserve"> Schlosberg (2007); Coulthard (2014); Whyte (2018, 2020); Gilio-Whitaker (2019); Walker &amp; Day (2012).</w:t>
      </w:r>
    </w:p>
    <w:p w14:paraId="4D21A91F" w14:textId="77777777" w:rsidR="00BA780F" w:rsidRDefault="00000000">
      <w:pPr>
        <w:numPr>
          <w:ilvl w:val="0"/>
          <w:numId w:val="71"/>
        </w:numPr>
        <w:spacing w:before="105" w:after="105" w:line="360" w:lineRule="auto"/>
      </w:pPr>
      <w:r>
        <w:rPr>
          <w:rFonts w:eastAsia="Georgia" w:hAnsi="Georgia" w:cs="Georgia"/>
          <w:b/>
          <w:color w:val="000000"/>
        </w:rPr>
        <w:t>Strengths:</w:t>
      </w:r>
      <w:r>
        <w:rPr>
          <w:rFonts w:eastAsia="Georgia" w:hAnsi="Georgia" w:cs="Georgia"/>
          <w:color w:val="000000"/>
        </w:rPr>
        <w:t xml:space="preserve"> Indispensable for treating Indigenous rights non-instrumentally; well-developed in environmental justice scholarship.</w:t>
      </w:r>
    </w:p>
    <w:p w14:paraId="1F61FA5B" w14:textId="77777777" w:rsidR="00BA780F" w:rsidRDefault="00000000">
      <w:pPr>
        <w:numPr>
          <w:ilvl w:val="0"/>
          <w:numId w:val="71"/>
        </w:numPr>
        <w:spacing w:before="105" w:after="105" w:line="360" w:lineRule="auto"/>
      </w:pPr>
      <w:r>
        <w:rPr>
          <w:rFonts w:eastAsia="Georgia" w:hAnsi="Georgia" w:cs="Georgia"/>
          <w:b/>
          <w:color w:val="000000"/>
        </w:rPr>
        <w:t>Weaknesses:</w:t>
      </w:r>
      <w:r>
        <w:rPr>
          <w:rFonts w:eastAsia="Georgia" w:hAnsi="Georgia" w:cs="Georgia"/>
          <w:color w:val="000000"/>
        </w:rPr>
        <w:t xml:space="preserve"> Operationalizing recognition justice in a vignette experiment is hard — easy to slip back into treating Indigenous consultation as one stakeholder frame among many. Methodological cautions apply (see Part H).</w:t>
      </w:r>
    </w:p>
    <w:p w14:paraId="0CCE44B6" w14:textId="77777777" w:rsidR="00BA780F" w:rsidRDefault="00000000">
      <w:pPr>
        <w:numPr>
          <w:ilvl w:val="0"/>
          <w:numId w:val="71"/>
        </w:numPr>
        <w:spacing w:before="105" w:after="105" w:line="360" w:lineRule="auto"/>
      </w:pPr>
      <w:r>
        <w:rPr>
          <w:rFonts w:eastAsia="Georgia" w:hAnsi="Georgia" w:cs="Georgia"/>
          <w:b/>
          <w:color w:val="000000"/>
        </w:rPr>
        <w:t>Use:</w:t>
      </w:r>
      <w:r>
        <w:rPr>
          <w:rFonts w:eastAsia="Georgia" w:hAnsi="Georgia" w:cs="Georgia"/>
          <w:color w:val="000000"/>
        </w:rPr>
        <w:t xml:space="preserve"> Primary theoretical lens for the Indigenous-rights section; in the empirical model, recognition justice should be treated as conceptually adjacent to but not identical with procedural fairness.</w:t>
      </w:r>
    </w:p>
    <w:p w14:paraId="602EB0D0" w14:textId="77777777" w:rsidR="00BA780F" w:rsidRDefault="00000000">
      <w:pPr>
        <w:spacing w:before="315" w:after="105" w:line="360" w:lineRule="auto"/>
        <w:ind w:left="-30"/>
      </w:pPr>
      <w:bookmarkStart w:id="25" w:name="d5_place_attachment_place_protect_c42806"/>
      <w:r>
        <w:rPr>
          <w:rFonts w:eastAsia="Georgia" w:hAnsi="Georgia" w:cs="Georgia"/>
          <w:b/>
          <w:color w:val="000000"/>
          <w:sz w:val="24"/>
        </w:rPr>
        <w:t>D5. Place attachment / place-protective action (SUPPORTING)</w:t>
      </w:r>
      <w:bookmarkEnd w:id="25"/>
    </w:p>
    <w:p w14:paraId="7A420C54" w14:textId="77777777" w:rsidR="00BA780F" w:rsidRDefault="00000000">
      <w:pPr>
        <w:numPr>
          <w:ilvl w:val="0"/>
          <w:numId w:val="72"/>
        </w:numPr>
        <w:spacing w:before="105" w:after="105" w:line="360" w:lineRule="auto"/>
      </w:pPr>
      <w:r>
        <w:rPr>
          <w:rFonts w:eastAsia="Georgia" w:hAnsi="Georgia" w:cs="Georgia"/>
          <w:b/>
          <w:color w:val="000000"/>
        </w:rPr>
        <w:t>Contribution:</w:t>
      </w:r>
      <w:r>
        <w:rPr>
          <w:rFonts w:eastAsia="Georgia" w:hAnsi="Georgia" w:cs="Georgia"/>
          <w:color w:val="000000"/>
        </w:rPr>
        <w:t xml:space="preserve"> Explains why local opposition is not NIMBY but identity-based defense of meaningful place; integrates Louisiana coastal, rural, and Indigenous attachments.</w:t>
      </w:r>
    </w:p>
    <w:p w14:paraId="52DFDA84" w14:textId="77777777" w:rsidR="00BA780F" w:rsidRDefault="00000000">
      <w:pPr>
        <w:numPr>
          <w:ilvl w:val="0"/>
          <w:numId w:val="72"/>
        </w:numPr>
        <w:spacing w:before="105" w:after="105" w:line="360" w:lineRule="auto"/>
      </w:pPr>
      <w:r>
        <w:rPr>
          <w:rFonts w:eastAsia="Georgia" w:hAnsi="Georgia" w:cs="Georgia"/>
          <w:b/>
          <w:color w:val="000000"/>
        </w:rPr>
        <w:t>Key authors:</w:t>
      </w:r>
      <w:r>
        <w:rPr>
          <w:rFonts w:eastAsia="Georgia" w:hAnsi="Georgia" w:cs="Georgia"/>
          <w:color w:val="000000"/>
        </w:rPr>
        <w:t xml:space="preserve"> Devine-Wright (2009); Devine-Wright &amp; Howes (2010); Devine-Wright &amp; Batel (2017); Bergquist et al. (2020); Mabon, Kita &amp; Xue (2017).</w:t>
      </w:r>
    </w:p>
    <w:p w14:paraId="70CED849" w14:textId="77777777" w:rsidR="00BA780F" w:rsidRDefault="00000000">
      <w:pPr>
        <w:numPr>
          <w:ilvl w:val="0"/>
          <w:numId w:val="72"/>
        </w:numPr>
        <w:spacing w:before="105" w:after="105" w:line="360" w:lineRule="auto"/>
      </w:pPr>
      <w:r>
        <w:rPr>
          <w:rFonts w:eastAsia="Georgia" w:hAnsi="Georgia" w:cs="Georgia"/>
          <w:b/>
          <w:color w:val="000000"/>
        </w:rPr>
        <w:t>Strengths:</w:t>
      </w:r>
      <w:r>
        <w:rPr>
          <w:rFonts w:eastAsia="Georgia" w:hAnsi="Georgia" w:cs="Georgia"/>
          <w:color w:val="000000"/>
        </w:rPr>
        <w:t xml:space="preserve"> Empirically robust; explains heterogeneity in support; can be used as a moderator (proximity × attachment).</w:t>
      </w:r>
    </w:p>
    <w:p w14:paraId="4A4C5CA8" w14:textId="77777777" w:rsidR="00BA780F" w:rsidRDefault="00000000">
      <w:pPr>
        <w:numPr>
          <w:ilvl w:val="0"/>
          <w:numId w:val="72"/>
        </w:numPr>
        <w:spacing w:before="105" w:after="105" w:line="360" w:lineRule="auto"/>
      </w:pPr>
      <w:r>
        <w:rPr>
          <w:rFonts w:eastAsia="Georgia" w:hAnsi="Georgia" w:cs="Georgia"/>
          <w:b/>
          <w:color w:val="000000"/>
        </w:rPr>
        <w:t>Weaknesses:</w:t>
      </w:r>
      <w:r>
        <w:rPr>
          <w:rFonts w:eastAsia="Georgia" w:hAnsi="Georgia" w:cs="Georgia"/>
          <w:color w:val="000000"/>
        </w:rPr>
        <w:t xml:space="preserve"> Has been criticized (Batel, 2018) for individualizing structural concerns; should be combined with justice framing.</w:t>
      </w:r>
    </w:p>
    <w:p w14:paraId="6E8B87D9" w14:textId="77777777" w:rsidR="00BA780F" w:rsidRDefault="00000000">
      <w:pPr>
        <w:numPr>
          <w:ilvl w:val="0"/>
          <w:numId w:val="72"/>
        </w:numPr>
        <w:spacing w:before="105" w:after="105" w:line="360" w:lineRule="auto"/>
      </w:pPr>
      <w:r>
        <w:rPr>
          <w:rFonts w:eastAsia="Georgia" w:hAnsi="Georgia" w:cs="Georgia"/>
          <w:b/>
          <w:color w:val="000000"/>
        </w:rPr>
        <w:t>Use:</w:t>
      </w:r>
      <w:r>
        <w:rPr>
          <w:rFonts w:eastAsia="Georgia" w:hAnsi="Georgia" w:cs="Georgia"/>
          <w:color w:val="000000"/>
        </w:rPr>
        <w:t xml:space="preserve"> Supporting theory; explains </w:t>
      </w:r>
      <w:r>
        <w:rPr>
          <w:rFonts w:eastAsia="Georgia" w:hAnsi="Georgia" w:cs="Georgia"/>
          <w:i/>
          <w:color w:val="000000"/>
        </w:rPr>
        <w:t>why</w:t>
      </w:r>
      <w:r>
        <w:rPr>
          <w:rFonts w:eastAsia="Georgia" w:hAnsi="Georgia" w:cs="Georgia"/>
          <w:color w:val="000000"/>
        </w:rPr>
        <w:t xml:space="preserve"> certain communities respond differently to identical governance frames.</w:t>
      </w:r>
    </w:p>
    <w:p w14:paraId="79E78278" w14:textId="77777777" w:rsidR="00BA780F" w:rsidRDefault="00000000">
      <w:pPr>
        <w:spacing w:before="315" w:after="105" w:line="360" w:lineRule="auto"/>
        <w:ind w:left="-30"/>
      </w:pPr>
      <w:bookmarkStart w:id="26" w:name="d6_trust_risk_perception_theory_s_90fa79"/>
      <w:r>
        <w:rPr>
          <w:rFonts w:eastAsia="Georgia" w:hAnsi="Georgia" w:cs="Georgia"/>
          <w:b/>
          <w:color w:val="000000"/>
          <w:sz w:val="24"/>
        </w:rPr>
        <w:t>D6. Trust / risk-perception theory (SUPPORTING)</w:t>
      </w:r>
      <w:bookmarkEnd w:id="26"/>
    </w:p>
    <w:p w14:paraId="41853280" w14:textId="77777777" w:rsidR="00BA780F" w:rsidRDefault="00000000">
      <w:pPr>
        <w:numPr>
          <w:ilvl w:val="0"/>
          <w:numId w:val="73"/>
        </w:numPr>
        <w:spacing w:before="105" w:after="105" w:line="360" w:lineRule="auto"/>
      </w:pPr>
      <w:r>
        <w:rPr>
          <w:rFonts w:eastAsia="Georgia" w:hAnsi="Georgia" w:cs="Georgia"/>
          <w:b/>
          <w:color w:val="000000"/>
        </w:rPr>
        <w:t>Contribution:</w:t>
      </w:r>
      <w:r>
        <w:rPr>
          <w:rFonts w:eastAsia="Georgia" w:hAnsi="Georgia" w:cs="Georgia"/>
          <w:color w:val="000000"/>
        </w:rPr>
        <w:t xml:space="preserve"> Provides the well-validated mediating role of institutional trust between fair process and outcomes like acceptance. Captures the distinction between competence-based and integrity-based trust (Terwel et al., 2009).</w:t>
      </w:r>
    </w:p>
    <w:p w14:paraId="2DEF2A8C" w14:textId="77777777" w:rsidR="00BA780F" w:rsidRDefault="00000000">
      <w:pPr>
        <w:numPr>
          <w:ilvl w:val="0"/>
          <w:numId w:val="73"/>
        </w:numPr>
        <w:spacing w:before="105" w:after="105" w:line="360" w:lineRule="auto"/>
      </w:pPr>
      <w:r>
        <w:rPr>
          <w:rFonts w:eastAsia="Georgia" w:hAnsi="Georgia" w:cs="Georgia"/>
          <w:b/>
          <w:color w:val="000000"/>
        </w:rPr>
        <w:t>Key authors:</w:t>
      </w:r>
      <w:r>
        <w:rPr>
          <w:rFonts w:eastAsia="Georgia" w:hAnsi="Georgia" w:cs="Georgia"/>
          <w:color w:val="000000"/>
        </w:rPr>
        <w:t xml:space="preserve"> Terwel et al. (2009); Cox, Pidgeon &amp; Spence (2021); San Román-Niaves et al. (2026); Moffat &amp; Zhang (2014); Firestone et al. (2020).</w:t>
      </w:r>
    </w:p>
    <w:p w14:paraId="4B4012BA" w14:textId="77777777" w:rsidR="00BA780F" w:rsidRDefault="00000000">
      <w:pPr>
        <w:numPr>
          <w:ilvl w:val="0"/>
          <w:numId w:val="73"/>
        </w:numPr>
        <w:spacing w:before="105" w:after="105" w:line="360" w:lineRule="auto"/>
      </w:pPr>
      <w:r>
        <w:rPr>
          <w:rFonts w:eastAsia="Georgia" w:hAnsi="Georgia" w:cs="Georgia"/>
          <w:b/>
          <w:color w:val="000000"/>
        </w:rPr>
        <w:t>Strengths:</w:t>
      </w:r>
      <w:r>
        <w:rPr>
          <w:rFonts w:eastAsia="Georgia" w:hAnsi="Georgia" w:cs="Georgia"/>
          <w:color w:val="000000"/>
        </w:rPr>
        <w:t xml:space="preserve"> Easy to operationalize in survey instruments; integrates cleanly with SEM.</w:t>
      </w:r>
    </w:p>
    <w:p w14:paraId="741B498D" w14:textId="77777777" w:rsidR="00BA780F" w:rsidRDefault="00000000">
      <w:pPr>
        <w:numPr>
          <w:ilvl w:val="0"/>
          <w:numId w:val="73"/>
        </w:numPr>
        <w:spacing w:before="105" w:after="105" w:line="360" w:lineRule="auto"/>
      </w:pPr>
      <w:r>
        <w:rPr>
          <w:rFonts w:eastAsia="Georgia" w:hAnsi="Georgia" w:cs="Georgia"/>
          <w:b/>
          <w:color w:val="000000"/>
        </w:rPr>
        <w:t>Weaknesses:</w:t>
      </w:r>
      <w:r>
        <w:rPr>
          <w:rFonts w:eastAsia="Georgia" w:hAnsi="Georgia" w:cs="Georgia"/>
          <w:color w:val="000000"/>
        </w:rPr>
        <w:t xml:space="preserve"> Risks reducing legitimacy to a trust metric; trust can be conflated with legitimacy if not carefully distinguished.</w:t>
      </w:r>
    </w:p>
    <w:p w14:paraId="55E19A36" w14:textId="77777777" w:rsidR="00BA780F" w:rsidRDefault="00000000">
      <w:pPr>
        <w:numPr>
          <w:ilvl w:val="0"/>
          <w:numId w:val="73"/>
        </w:numPr>
        <w:spacing w:before="105" w:after="105" w:line="360" w:lineRule="auto"/>
      </w:pPr>
      <w:r>
        <w:rPr>
          <w:rFonts w:eastAsia="Georgia" w:hAnsi="Georgia" w:cs="Georgia"/>
          <w:b/>
          <w:color w:val="000000"/>
        </w:rPr>
        <w:t>Use:</w:t>
      </w:r>
      <w:r>
        <w:rPr>
          <w:rFonts w:eastAsia="Georgia" w:hAnsi="Georgia" w:cs="Georgia"/>
          <w:color w:val="000000"/>
        </w:rPr>
        <w:t xml:space="preserve"> Supporting theory — </w:t>
      </w:r>
      <w:r>
        <w:rPr>
          <w:rFonts w:eastAsia="Georgia" w:hAnsi="Georgia" w:cs="Georgia"/>
          <w:i/>
          <w:color w:val="000000"/>
        </w:rPr>
        <w:t>mediator</w:t>
      </w:r>
      <w:r>
        <w:rPr>
          <w:rFonts w:eastAsia="Georgia" w:hAnsi="Georgia" w:cs="Georgia"/>
          <w:color w:val="000000"/>
        </w:rPr>
        <w:t xml:space="preserve"> between fairness perception and perceived legitimacy in the conceptual model.</w:t>
      </w:r>
    </w:p>
    <w:p w14:paraId="4AE5EA59" w14:textId="77777777" w:rsidR="00BA780F" w:rsidRDefault="00000000">
      <w:pPr>
        <w:spacing w:before="315" w:after="105" w:line="360" w:lineRule="auto"/>
        <w:ind w:left="-30"/>
      </w:pPr>
      <w:bookmarkStart w:id="27" w:name="d7_settler_colonialism_collective_99559f"/>
      <w:r>
        <w:rPr>
          <w:rFonts w:eastAsia="Georgia" w:hAnsi="Georgia" w:cs="Georgia"/>
          <w:b/>
          <w:color w:val="000000"/>
          <w:sz w:val="24"/>
        </w:rPr>
        <w:t>D7. Settler colonialism / collective continuance (SUPPORTING — but ESSENTIAL for Indigenous-rights section)</w:t>
      </w:r>
      <w:bookmarkEnd w:id="27"/>
    </w:p>
    <w:p w14:paraId="715C4546" w14:textId="77777777" w:rsidR="00BA780F" w:rsidRDefault="00000000">
      <w:pPr>
        <w:numPr>
          <w:ilvl w:val="0"/>
          <w:numId w:val="74"/>
        </w:numPr>
        <w:spacing w:before="105" w:after="105" w:line="360" w:lineRule="auto"/>
      </w:pPr>
      <w:r>
        <w:rPr>
          <w:rFonts w:eastAsia="Georgia" w:hAnsi="Georgia" w:cs="Georgia"/>
          <w:b/>
          <w:color w:val="000000"/>
        </w:rPr>
        <w:t>Contribution:</w:t>
      </w:r>
      <w:r>
        <w:rPr>
          <w:rFonts w:eastAsia="Georgia" w:hAnsi="Georgia" w:cs="Georgia"/>
          <w:color w:val="000000"/>
        </w:rPr>
        <w:t xml:space="preserve"> Provides the analytic framework to read CCS as a potential "colonial flanking mechanism" (Alexander &amp; Stanley, 2022) — i.e., a climate technology that may entrench, rather than disrupt, settler-colonial relations on Indigenous lands.</w:t>
      </w:r>
    </w:p>
    <w:p w14:paraId="7BDA92AD" w14:textId="77777777" w:rsidR="00BA780F" w:rsidRDefault="00000000">
      <w:pPr>
        <w:numPr>
          <w:ilvl w:val="0"/>
          <w:numId w:val="74"/>
        </w:numPr>
        <w:spacing w:before="105" w:after="105" w:line="360" w:lineRule="auto"/>
      </w:pPr>
      <w:r>
        <w:rPr>
          <w:rFonts w:eastAsia="Georgia" w:hAnsi="Georgia" w:cs="Georgia"/>
          <w:b/>
          <w:color w:val="000000"/>
        </w:rPr>
        <w:t>Key authors:</w:t>
      </w:r>
      <w:r>
        <w:rPr>
          <w:rFonts w:eastAsia="Georgia" w:hAnsi="Georgia" w:cs="Georgia"/>
          <w:color w:val="000000"/>
        </w:rPr>
        <w:t xml:space="preserve"> Whyte (2018, 2020); Coulthard (2014); Spice (2018); Estes (2019); Gilio-Whitaker (2019); Alexander &amp; Stanley (2022); Awāsis (2020); Temper (2019).</w:t>
      </w:r>
    </w:p>
    <w:p w14:paraId="0B39E79E" w14:textId="77777777" w:rsidR="00BA780F" w:rsidRDefault="00000000">
      <w:pPr>
        <w:numPr>
          <w:ilvl w:val="0"/>
          <w:numId w:val="74"/>
        </w:numPr>
        <w:spacing w:before="105" w:after="105" w:line="360" w:lineRule="auto"/>
      </w:pPr>
      <w:r>
        <w:rPr>
          <w:rFonts w:eastAsia="Georgia" w:hAnsi="Georgia" w:cs="Georgia"/>
          <w:b/>
          <w:color w:val="000000"/>
        </w:rPr>
        <w:t>Strengths:</w:t>
      </w:r>
      <w:r>
        <w:rPr>
          <w:rFonts w:eastAsia="Georgia" w:hAnsi="Georgia" w:cs="Georgia"/>
          <w:color w:val="000000"/>
        </w:rPr>
        <w:t xml:space="preserve"> The only framework that adequately theorizes CCS through a sovereignty lens; analytically rigorous; growing presence in </w:t>
      </w:r>
      <w:r>
        <w:rPr>
          <w:rFonts w:eastAsia="Georgia" w:hAnsi="Georgia" w:cs="Georgia"/>
          <w:i/>
          <w:color w:val="000000"/>
        </w:rPr>
        <w:t>ERSS</w:t>
      </w:r>
      <w:r>
        <w:rPr>
          <w:rFonts w:eastAsia="Georgia" w:hAnsi="Georgia" w:cs="Georgia"/>
          <w:color w:val="000000"/>
        </w:rPr>
        <w:t>.</w:t>
      </w:r>
    </w:p>
    <w:p w14:paraId="47775A1C" w14:textId="77777777" w:rsidR="00BA780F" w:rsidRDefault="00000000">
      <w:pPr>
        <w:numPr>
          <w:ilvl w:val="0"/>
          <w:numId w:val="74"/>
        </w:numPr>
        <w:spacing w:before="105" w:after="105" w:line="360" w:lineRule="auto"/>
      </w:pPr>
      <w:r>
        <w:rPr>
          <w:rFonts w:eastAsia="Georgia" w:hAnsi="Georgia" w:cs="Georgia"/>
          <w:b/>
          <w:color w:val="000000"/>
        </w:rPr>
        <w:t>Weaknesses:</w:t>
      </w:r>
      <w:r>
        <w:rPr>
          <w:rFonts w:eastAsia="Georgia" w:hAnsi="Georgia" w:cs="Georgia"/>
          <w:color w:val="000000"/>
        </w:rPr>
        <w:t xml:space="preserve"> Requires careful methodological handling; cannot be operationalized as a generic "Indigenous frame" in a survey experiment (see Part H).</w:t>
      </w:r>
    </w:p>
    <w:p w14:paraId="48C8C97A" w14:textId="77777777" w:rsidR="00BA780F" w:rsidRDefault="00000000">
      <w:pPr>
        <w:numPr>
          <w:ilvl w:val="0"/>
          <w:numId w:val="74"/>
        </w:numPr>
        <w:spacing w:before="105" w:after="105" w:line="360" w:lineRule="auto"/>
      </w:pPr>
      <w:r>
        <w:rPr>
          <w:rFonts w:eastAsia="Georgia" w:hAnsi="Georgia" w:cs="Georgia"/>
          <w:b/>
          <w:color w:val="000000"/>
        </w:rPr>
        <w:t>Use:</w:t>
      </w:r>
      <w:r>
        <w:rPr>
          <w:rFonts w:eastAsia="Georgia" w:hAnsi="Georgia" w:cs="Georgia"/>
          <w:color w:val="000000"/>
        </w:rPr>
        <w:t xml:space="preserve"> Critical analytic framework for Section 6 of the literature review; methodological constraint on the empirical design.</w:t>
      </w:r>
    </w:p>
    <w:p w14:paraId="59E616F9" w14:textId="77777777" w:rsidR="00BA780F" w:rsidRDefault="00000000">
      <w:pPr>
        <w:spacing w:after="210" w:line="360" w:lineRule="auto"/>
        <w:ind w:left="630"/>
      </w:pPr>
      <w:r>
        <w:rPr>
          <w:rFonts w:eastAsia="Georgia" w:hAnsi="Georgia" w:cs="Georgia"/>
          <w:b/>
          <w:color w:val="000000"/>
        </w:rPr>
        <w:t>Recommendation:</w:t>
      </w:r>
      <w:r>
        <w:rPr>
          <w:rFonts w:eastAsia="Georgia" w:hAnsi="Georgia" w:cs="Georgia"/>
          <w:color w:val="000000"/>
        </w:rPr>
        <w:t xml:space="preserve"> Foreground D1, D2, D3 as the manuscript's theoretical scaffolding; deploy D4 and D7 as critical supplements that the manuscript explicitly says require qualitatively different treatment; use D5 and D6 as measured constructs and moderators.</w:t>
      </w:r>
    </w:p>
    <w:p w14:paraId="6B0C3D80" w14:textId="77777777" w:rsidR="00BA780F" w:rsidRDefault="00000000">
      <w:pPr>
        <w:spacing w:before="210" w:after="0" w:line="360" w:lineRule="auto"/>
      </w:pPr>
      <w:r>
        <w:rPr>
          <w:noProof/>
        </w:rPr>
      </w:r>
      <w:r>
        <w:rPr>
          <w:noProof/>
        </w:rPr>
        <w:pict w14:anchorId="6A878784">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A038AE" w14:textId="77777777" w:rsidR="00BA780F" w:rsidRDefault="00000000">
      <w:pPr>
        <w:spacing w:before="315" w:after="105" w:line="360" w:lineRule="auto"/>
        <w:ind w:left="-30"/>
      </w:pPr>
      <w:bookmarkStart w:id="28" w:name="e_methodological_precedents"/>
      <w:r>
        <w:rPr>
          <w:rFonts w:eastAsia="Georgia" w:hAnsi="Georgia" w:cs="Georgia"/>
          <w:b/>
          <w:color w:val="000000"/>
          <w:sz w:val="24"/>
        </w:rPr>
        <w:t>E. Methodological precedents</w:t>
      </w:r>
      <w:bookmarkEnd w:id="28"/>
    </w:p>
    <w:p w14:paraId="50AB5BAD" w14:textId="77777777" w:rsidR="00BA780F" w:rsidRDefault="00000000">
      <w:pPr>
        <w:spacing w:after="210" w:line="360" w:lineRule="auto"/>
      </w:pPr>
      <w:r>
        <w:rPr>
          <w:rFonts w:eastAsia="Georgia" w:hAnsi="Georgia" w:cs="Georgia"/>
          <w:color w:val="000000"/>
        </w:rPr>
        <w:t>Six methodological approaches, with the most relevant peer-reviewed exemplars:</w:t>
      </w:r>
    </w:p>
    <w:p w14:paraId="58E8EE56" w14:textId="77777777" w:rsidR="00BA780F" w:rsidRDefault="00000000">
      <w:pPr>
        <w:spacing w:before="315" w:after="105" w:line="360" w:lineRule="auto"/>
        <w:ind w:left="-30"/>
      </w:pPr>
      <w:bookmarkStart w:id="29" w:name="e1_discourse_frame_analysis_of_cc_e1bec7"/>
      <w:r>
        <w:rPr>
          <w:rFonts w:eastAsia="Georgia" w:hAnsi="Georgia" w:cs="Georgia"/>
          <w:b/>
          <w:color w:val="000000"/>
          <w:sz w:val="24"/>
        </w:rPr>
        <w:t>E1. Discourse / frame analysis of CCS communication</w:t>
      </w:r>
      <w:bookmarkEnd w:id="29"/>
    </w:p>
    <w:p w14:paraId="7B0C480F" w14:textId="77777777" w:rsidR="00BA780F" w:rsidRDefault="00000000">
      <w:pPr>
        <w:numPr>
          <w:ilvl w:val="0"/>
          <w:numId w:val="75"/>
        </w:numPr>
        <w:spacing w:before="105" w:after="105" w:line="360" w:lineRule="auto"/>
      </w:pPr>
      <w:r>
        <w:rPr>
          <w:rFonts w:eastAsia="Georgia" w:hAnsi="Georgia" w:cs="Georgia"/>
          <w:b/>
          <w:color w:val="000000"/>
        </w:rPr>
        <w:t>Hansson, Anshelm, Fridahl &amp; Haikola (2022)</w:t>
      </w:r>
      <w:r>
        <w:rPr>
          <w:rFonts w:eastAsia="Georgia" w:hAnsi="Georgia" w:cs="Georgia"/>
          <w:color w:val="000000"/>
        </w:rPr>
        <w:t xml:space="preserve"> — longitudinal Swedish media + parliamentary discourse analysis. (</w:t>
      </w:r>
      <w:hyperlink r:id="rId126">
        <w:r>
          <w:rPr>
            <w:rFonts w:ascii="helvetica neue" w:eastAsia="helvetica neue" w:hAnsi="helvetica neue" w:cs="helvetica neue"/>
            <w:u w:val="single"/>
          </w:rPr>
          <w:t>DOI</w:t>
        </w:r>
      </w:hyperlink>
      <w:r>
        <w:rPr>
          <w:rFonts w:eastAsia="Georgia" w:hAnsi="Georgia" w:cs="Georgia"/>
          <w:color w:val="000000"/>
        </w:rPr>
        <w:t>)</w:t>
      </w:r>
    </w:p>
    <w:p w14:paraId="21355A17" w14:textId="77777777" w:rsidR="00BA780F" w:rsidRDefault="00000000">
      <w:pPr>
        <w:numPr>
          <w:ilvl w:val="0"/>
          <w:numId w:val="75"/>
        </w:numPr>
        <w:spacing w:before="105" w:after="105" w:line="360" w:lineRule="auto"/>
      </w:pPr>
      <w:r>
        <w:rPr>
          <w:rFonts w:eastAsia="Georgia" w:hAnsi="Georgia" w:cs="Georgia"/>
          <w:b/>
          <w:color w:val="000000"/>
        </w:rPr>
        <w:t>Thomas, Pidgeon &amp; Roberts (2018)</w:t>
      </w:r>
      <w:r>
        <w:rPr>
          <w:rFonts w:eastAsia="Georgia" w:hAnsi="Georgia" w:cs="Georgia"/>
          <w:color w:val="000000"/>
        </w:rPr>
        <w:t xml:space="preserve"> — qualitative focus-group analysis of CCS ambivalence in UK. (</w:t>
      </w:r>
      <w:hyperlink r:id="rId127">
        <w:r>
          <w:rPr>
            <w:rFonts w:ascii="helvetica neue" w:eastAsia="helvetica neue" w:hAnsi="helvetica neue" w:cs="helvetica neue"/>
            <w:u w:val="single"/>
          </w:rPr>
          <w:t>DOI</w:t>
        </w:r>
      </w:hyperlink>
      <w:r>
        <w:rPr>
          <w:rFonts w:eastAsia="Georgia" w:hAnsi="Georgia" w:cs="Georgia"/>
          <w:color w:val="000000"/>
        </w:rPr>
        <w:t>)</w:t>
      </w:r>
    </w:p>
    <w:p w14:paraId="16CDFAE7" w14:textId="77777777" w:rsidR="00BA780F" w:rsidRDefault="00000000">
      <w:pPr>
        <w:numPr>
          <w:ilvl w:val="0"/>
          <w:numId w:val="75"/>
        </w:numPr>
        <w:spacing w:before="105" w:after="105" w:line="360" w:lineRule="auto"/>
      </w:pPr>
      <w:r>
        <w:rPr>
          <w:rFonts w:eastAsia="Georgia" w:hAnsi="Georgia" w:cs="Georgia"/>
          <w:b/>
          <w:color w:val="000000"/>
        </w:rPr>
        <w:t>Spice (2018)</w:t>
      </w:r>
      <w:r>
        <w:rPr>
          <w:rFonts w:eastAsia="Georgia" w:hAnsi="Georgia" w:cs="Georgia"/>
          <w:color w:val="000000"/>
        </w:rPr>
        <w:t xml:space="preserve"> — anthropological analysis of "critical infrastructure" discourse in pipeline contexts. (</w:t>
      </w:r>
      <w:hyperlink r:id="rId128">
        <w:r>
          <w:rPr>
            <w:rFonts w:ascii="helvetica neue" w:eastAsia="helvetica neue" w:hAnsi="helvetica neue" w:cs="helvetica neue"/>
            <w:u w:val="single"/>
          </w:rPr>
          <w:t>DOI</w:t>
        </w:r>
      </w:hyperlink>
      <w:r>
        <w:rPr>
          <w:rFonts w:eastAsia="Georgia" w:hAnsi="Georgia" w:cs="Georgia"/>
          <w:color w:val="000000"/>
        </w:rPr>
        <w:t>)</w:t>
      </w:r>
    </w:p>
    <w:p w14:paraId="771F1B86" w14:textId="77777777" w:rsidR="00BA780F" w:rsidRDefault="00000000">
      <w:pPr>
        <w:spacing w:before="315" w:after="105" w:line="360" w:lineRule="auto"/>
        <w:ind w:left="-30"/>
      </w:pPr>
      <w:bookmarkStart w:id="30" w:name="e2_vignette_survey_experiments_ma_fbb726"/>
      <w:r>
        <w:rPr>
          <w:rFonts w:eastAsia="Georgia" w:hAnsi="Georgia" w:cs="Georgia"/>
          <w:b/>
          <w:color w:val="000000"/>
          <w:sz w:val="24"/>
        </w:rPr>
        <w:t>E2. Vignette / survey experiments manipulating governance frames</w:t>
      </w:r>
      <w:bookmarkEnd w:id="30"/>
    </w:p>
    <w:p w14:paraId="7F6FD8F0" w14:textId="77777777" w:rsidR="00BA780F" w:rsidRDefault="00000000">
      <w:pPr>
        <w:numPr>
          <w:ilvl w:val="0"/>
          <w:numId w:val="76"/>
        </w:numPr>
        <w:spacing w:before="105" w:after="105" w:line="360" w:lineRule="auto"/>
      </w:pPr>
      <w:r>
        <w:rPr>
          <w:rFonts w:eastAsia="Georgia" w:hAnsi="Georgia" w:cs="Georgia"/>
          <w:b/>
          <w:color w:val="000000"/>
        </w:rPr>
        <w:t>Anders, Liebe &amp; Meyerhoff (2024)</w:t>
      </w:r>
      <w:r>
        <w:rPr>
          <w:rFonts w:eastAsia="Georgia" w:hAnsi="Georgia" w:cs="Georgia"/>
          <w:color w:val="000000"/>
        </w:rPr>
        <w:t xml:space="preserve"> — </w:t>
      </w:r>
      <w:r>
        <w:rPr>
          <w:rFonts w:eastAsia="Georgia" w:hAnsi="Georgia" w:cs="Georgia"/>
          <w:i/>
          <w:color w:val="000000"/>
        </w:rPr>
        <w:t>Nature Climate Change</w:t>
      </w:r>
      <w:r>
        <w:rPr>
          <w:rFonts w:eastAsia="Georgia" w:hAnsi="Georgia" w:cs="Georgia"/>
          <w:color w:val="000000"/>
        </w:rPr>
        <w:t xml:space="preserve"> multifactorial vignette across five countries; fairness as mediator. (</w:t>
      </w:r>
      <w:hyperlink r:id="rId129">
        <w:r>
          <w:rPr>
            <w:rFonts w:ascii="helvetica neue" w:eastAsia="helvetica neue" w:hAnsi="helvetica neue" w:cs="helvetica neue"/>
            <w:u w:val="single"/>
          </w:rPr>
          <w:t>DOI</w:t>
        </w:r>
      </w:hyperlink>
      <w:r>
        <w:rPr>
          <w:rFonts w:eastAsia="Georgia" w:hAnsi="Georgia" w:cs="Georgia"/>
          <w:color w:val="000000"/>
        </w:rPr>
        <w:t xml:space="preserve">) </w:t>
      </w:r>
      <w:r>
        <w:rPr>
          <w:rFonts w:eastAsia="Georgia" w:hAnsi="Georgia" w:cs="Georgia"/>
          <w:b/>
          <w:color w:val="000000"/>
        </w:rPr>
        <w:t>This is your primary methodological model.</w:t>
      </w:r>
    </w:p>
    <w:p w14:paraId="00E279BC" w14:textId="77777777" w:rsidR="00BA780F" w:rsidRDefault="00000000">
      <w:pPr>
        <w:numPr>
          <w:ilvl w:val="0"/>
          <w:numId w:val="76"/>
        </w:numPr>
        <w:spacing w:before="105" w:after="105" w:line="360" w:lineRule="auto"/>
      </w:pPr>
      <w:r>
        <w:rPr>
          <w:rFonts w:eastAsia="Georgia" w:hAnsi="Georgia" w:cs="Georgia"/>
          <w:b/>
          <w:color w:val="000000"/>
        </w:rPr>
        <w:t>Pianta, Rinscheid &amp; Weber (2021)</w:t>
      </w:r>
      <w:r>
        <w:rPr>
          <w:rFonts w:eastAsia="Georgia" w:hAnsi="Georgia" w:cs="Georgia"/>
          <w:color w:val="000000"/>
        </w:rPr>
        <w:t xml:space="preserve"> — US conjoint experiment varying CCS policy attributes. (</w:t>
      </w:r>
      <w:hyperlink r:id="rId130">
        <w:r>
          <w:rPr>
            <w:rFonts w:ascii="helvetica neue" w:eastAsia="helvetica neue" w:hAnsi="helvetica neue" w:cs="helvetica neue"/>
            <w:u w:val="single"/>
          </w:rPr>
          <w:t>DOI</w:t>
        </w:r>
      </w:hyperlink>
      <w:r>
        <w:rPr>
          <w:rFonts w:eastAsia="Georgia" w:hAnsi="Georgia" w:cs="Georgia"/>
          <w:color w:val="000000"/>
        </w:rPr>
        <w:t>)</w:t>
      </w:r>
    </w:p>
    <w:p w14:paraId="0B64CF3B" w14:textId="77777777" w:rsidR="00BA780F" w:rsidRDefault="00000000">
      <w:pPr>
        <w:numPr>
          <w:ilvl w:val="0"/>
          <w:numId w:val="76"/>
        </w:numPr>
        <w:spacing w:before="105" w:after="105" w:line="360" w:lineRule="auto"/>
      </w:pPr>
      <w:r>
        <w:rPr>
          <w:rFonts w:eastAsia="Georgia" w:hAnsi="Georgia" w:cs="Georgia"/>
          <w:b/>
          <w:color w:val="000000"/>
        </w:rPr>
        <w:t>Whitmarsh, Xenias &amp; Jones (2019)</w:t>
      </w:r>
      <w:r>
        <w:rPr>
          <w:rFonts w:eastAsia="Georgia" w:hAnsi="Georgia" w:cs="Georgia"/>
          <w:color w:val="000000"/>
        </w:rPr>
        <w:t xml:space="preserve"> — five-country survey experiment varying CCS frames. (</w:t>
      </w:r>
      <w:hyperlink r:id="rId131">
        <w:r>
          <w:rPr>
            <w:rFonts w:ascii="helvetica neue" w:eastAsia="helvetica neue" w:hAnsi="helvetica neue" w:cs="helvetica neue"/>
            <w:u w:val="single"/>
          </w:rPr>
          <w:t>DOI</w:t>
        </w:r>
      </w:hyperlink>
      <w:r>
        <w:rPr>
          <w:rFonts w:eastAsia="Georgia" w:hAnsi="Georgia" w:cs="Georgia"/>
          <w:color w:val="000000"/>
        </w:rPr>
        <w:t>)</w:t>
      </w:r>
    </w:p>
    <w:p w14:paraId="356ECB2C" w14:textId="77777777" w:rsidR="00BA780F" w:rsidRDefault="00000000">
      <w:pPr>
        <w:numPr>
          <w:ilvl w:val="0"/>
          <w:numId w:val="76"/>
        </w:numPr>
        <w:spacing w:before="105" w:after="105" w:line="360" w:lineRule="auto"/>
      </w:pPr>
      <w:r>
        <w:rPr>
          <w:rFonts w:eastAsia="Georgia" w:hAnsi="Georgia" w:cs="Georgia"/>
          <w:b/>
          <w:color w:val="000000"/>
        </w:rPr>
        <w:t>Liebe, Bartczak &amp; Meyerhoff (2017)</w:t>
      </w:r>
      <w:r>
        <w:rPr>
          <w:rFonts w:eastAsia="Georgia" w:hAnsi="Georgia" w:cs="Georgia"/>
          <w:color w:val="000000"/>
        </w:rPr>
        <w:t xml:space="preserve"> — German factorial wind survey. (</w:t>
      </w:r>
      <w:hyperlink r:id="rId132">
        <w:r>
          <w:rPr>
            <w:rFonts w:ascii="helvetica neue" w:eastAsia="helvetica neue" w:hAnsi="helvetica neue" w:cs="helvetica neue"/>
            <w:u w:val="single"/>
          </w:rPr>
          <w:t>DOI</w:t>
        </w:r>
      </w:hyperlink>
      <w:r>
        <w:rPr>
          <w:rFonts w:eastAsia="Georgia" w:hAnsi="Georgia" w:cs="Georgia"/>
          <w:color w:val="000000"/>
        </w:rPr>
        <w:t>)</w:t>
      </w:r>
    </w:p>
    <w:p w14:paraId="767539ED" w14:textId="77777777" w:rsidR="00BA780F" w:rsidRDefault="00000000">
      <w:pPr>
        <w:numPr>
          <w:ilvl w:val="0"/>
          <w:numId w:val="76"/>
        </w:numPr>
        <w:spacing w:before="105" w:after="105" w:line="360" w:lineRule="auto"/>
      </w:pPr>
      <w:r>
        <w:rPr>
          <w:rFonts w:eastAsia="Georgia" w:hAnsi="Georgia" w:cs="Georgia"/>
          <w:b/>
          <w:color w:val="000000"/>
        </w:rPr>
        <w:t>Walker, Wiersma &amp; Bailey (2014)</w:t>
      </w:r>
      <w:r>
        <w:rPr>
          <w:rFonts w:eastAsia="Georgia" w:hAnsi="Georgia" w:cs="Georgia"/>
          <w:color w:val="000000"/>
        </w:rPr>
        <w:t xml:space="preserve"> — UK offshore wind framing experiment with consultation manipulation. (</w:t>
      </w:r>
      <w:hyperlink r:id="rId133">
        <w:r>
          <w:rPr>
            <w:rFonts w:ascii="helvetica neue" w:eastAsia="helvetica neue" w:hAnsi="helvetica neue" w:cs="helvetica neue"/>
            <w:u w:val="single"/>
          </w:rPr>
          <w:t>DOI</w:t>
        </w:r>
      </w:hyperlink>
      <w:r>
        <w:rPr>
          <w:rFonts w:eastAsia="Georgia" w:hAnsi="Georgia" w:cs="Georgia"/>
          <w:color w:val="000000"/>
        </w:rPr>
        <w:t>)</w:t>
      </w:r>
    </w:p>
    <w:p w14:paraId="0A3C20A7" w14:textId="77777777" w:rsidR="00BA780F" w:rsidRDefault="00000000">
      <w:pPr>
        <w:numPr>
          <w:ilvl w:val="0"/>
          <w:numId w:val="76"/>
        </w:numPr>
        <w:spacing w:before="105" w:after="105" w:line="360" w:lineRule="auto"/>
      </w:pPr>
      <w:r>
        <w:rPr>
          <w:rFonts w:eastAsia="Georgia" w:hAnsi="Georgia" w:cs="Georgia"/>
          <w:b/>
          <w:color w:val="000000"/>
        </w:rPr>
        <w:t>Chewinski, Anders &amp; Parkins (2023)</w:t>
      </w:r>
      <w:r>
        <w:rPr>
          <w:rFonts w:eastAsia="Georgia" w:hAnsi="Georgia" w:cs="Georgia"/>
          <w:color w:val="000000"/>
        </w:rPr>
        <w:t xml:space="preserve"> — Alberta landowner factorial survey with energy-justice attributes. (</w:t>
      </w:r>
      <w:hyperlink r:id="rId134">
        <w:r>
          <w:rPr>
            <w:rFonts w:ascii="helvetica neue" w:eastAsia="helvetica neue" w:hAnsi="helvetica neue" w:cs="helvetica neue"/>
            <w:u w:val="single"/>
          </w:rPr>
          <w:t>DOI</w:t>
        </w:r>
      </w:hyperlink>
      <w:r>
        <w:rPr>
          <w:rFonts w:eastAsia="Georgia" w:hAnsi="Georgia" w:cs="Georgia"/>
          <w:color w:val="000000"/>
        </w:rPr>
        <w:t>)</w:t>
      </w:r>
    </w:p>
    <w:p w14:paraId="3FBD5B58" w14:textId="77777777" w:rsidR="00BA780F" w:rsidRDefault="00000000">
      <w:pPr>
        <w:numPr>
          <w:ilvl w:val="0"/>
          <w:numId w:val="76"/>
        </w:numPr>
        <w:spacing w:before="105" w:after="105" w:line="360" w:lineRule="auto"/>
      </w:pPr>
      <w:r>
        <w:rPr>
          <w:rFonts w:eastAsia="Georgia" w:hAnsi="Georgia" w:cs="Georgia"/>
          <w:b/>
          <w:color w:val="000000"/>
        </w:rPr>
        <w:t>Bergquist (2024)</w:t>
      </w:r>
      <w:r>
        <w:rPr>
          <w:rFonts w:eastAsia="Georgia" w:hAnsi="Georgia" w:cs="Georgia"/>
          <w:color w:val="000000"/>
        </w:rPr>
        <w:t xml:space="preserve"> — multi-country fairness-frame experiments on environmental tax policies. (</w:t>
      </w:r>
      <w:hyperlink r:id="rId135">
        <w:r>
          <w:rPr>
            <w:rFonts w:ascii="helvetica neue" w:eastAsia="helvetica neue" w:hAnsi="helvetica neue" w:cs="helvetica neue"/>
            <w:u w:val="single"/>
          </w:rPr>
          <w:t>DOI</w:t>
        </w:r>
      </w:hyperlink>
      <w:r>
        <w:rPr>
          <w:rFonts w:eastAsia="Georgia" w:hAnsi="Georgia" w:cs="Georgia"/>
          <w:color w:val="000000"/>
        </w:rPr>
        <w:t>)</w:t>
      </w:r>
    </w:p>
    <w:p w14:paraId="5E660D0B" w14:textId="77777777" w:rsidR="00BA780F" w:rsidRDefault="00000000">
      <w:pPr>
        <w:numPr>
          <w:ilvl w:val="0"/>
          <w:numId w:val="76"/>
        </w:numPr>
        <w:spacing w:before="105" w:after="105" w:line="360" w:lineRule="auto"/>
      </w:pPr>
      <w:r>
        <w:rPr>
          <w:rFonts w:eastAsia="Georgia" w:hAnsi="Georgia" w:cs="Georgia"/>
          <w:b/>
          <w:color w:val="000000"/>
        </w:rPr>
        <w:t>Atkinson, Dankel &amp; Romanak (2024)</w:t>
      </w:r>
      <w:r>
        <w:rPr>
          <w:rFonts w:eastAsia="Georgia" w:hAnsi="Georgia" w:cs="Georgia"/>
          <w:color w:val="000000"/>
        </w:rPr>
        <w:t xml:space="preserve"> — Texas/Louisiana/Florida factorial survey on CCS monitoring messages. (</w:t>
      </w:r>
      <w:hyperlink r:id="rId136">
        <w:r>
          <w:rPr>
            <w:rFonts w:ascii="helvetica neue" w:eastAsia="helvetica neue" w:hAnsi="helvetica neue" w:cs="helvetica neue"/>
            <w:u w:val="single"/>
          </w:rPr>
          <w:t>DOI</w:t>
        </w:r>
      </w:hyperlink>
      <w:r>
        <w:rPr>
          <w:rFonts w:eastAsia="Georgia" w:hAnsi="Georgia" w:cs="Georgia"/>
          <w:color w:val="000000"/>
        </w:rPr>
        <w:t>)</w:t>
      </w:r>
    </w:p>
    <w:p w14:paraId="0C0F432E" w14:textId="77777777" w:rsidR="00BA780F" w:rsidRDefault="00000000">
      <w:pPr>
        <w:spacing w:before="315" w:after="105" w:line="360" w:lineRule="auto"/>
        <w:ind w:left="-30"/>
      </w:pPr>
      <w:bookmarkStart w:id="31" w:name="e3_factorial_fairness_as_outcome_designs"/>
      <w:r>
        <w:rPr>
          <w:rFonts w:eastAsia="Georgia" w:hAnsi="Georgia" w:cs="Georgia"/>
          <w:b/>
          <w:color w:val="000000"/>
          <w:sz w:val="24"/>
        </w:rPr>
        <w:t>E3. Factorial / fairness-as-outcome designs</w:t>
      </w:r>
      <w:bookmarkEnd w:id="31"/>
    </w:p>
    <w:p w14:paraId="4090E991" w14:textId="77777777" w:rsidR="00BA780F" w:rsidRDefault="00000000">
      <w:pPr>
        <w:numPr>
          <w:ilvl w:val="0"/>
          <w:numId w:val="77"/>
        </w:numPr>
        <w:spacing w:before="105" w:after="105" w:line="360" w:lineRule="auto"/>
      </w:pPr>
      <w:r>
        <w:rPr>
          <w:rFonts w:eastAsia="Georgia" w:hAnsi="Georgia" w:cs="Georgia"/>
          <w:b/>
          <w:color w:val="000000"/>
        </w:rPr>
        <w:t>Liebe &amp; Dobers (2020)</w:t>
      </w:r>
      <w:r>
        <w:rPr>
          <w:rFonts w:eastAsia="Georgia" w:hAnsi="Georgia" w:cs="Georgia"/>
          <w:color w:val="000000"/>
        </w:rPr>
        <w:t xml:space="preserve"> — </w:t>
      </w:r>
      <w:r>
        <w:rPr>
          <w:rFonts w:eastAsia="Georgia" w:hAnsi="Georgia" w:cs="Georgia"/>
          <w:i/>
          <w:color w:val="000000"/>
        </w:rPr>
        <w:t>Sustainability</w:t>
      </w:r>
      <w:r>
        <w:rPr>
          <w:rFonts w:eastAsia="Georgia" w:hAnsi="Georgia" w:cs="Georgia"/>
          <w:color w:val="000000"/>
        </w:rPr>
        <w:t xml:space="preserve"> methodological paper showing how to measure procedural and distributive fairness separately in vignette designs. (</w:t>
      </w:r>
      <w:hyperlink r:id="rId137">
        <w:r>
          <w:rPr>
            <w:rFonts w:ascii="helvetica neue" w:eastAsia="helvetica neue" w:hAnsi="helvetica neue" w:cs="helvetica neue"/>
            <w:u w:val="single"/>
          </w:rPr>
          <w:t>DOI</w:t>
        </w:r>
      </w:hyperlink>
      <w:r>
        <w:rPr>
          <w:rFonts w:eastAsia="Georgia" w:hAnsi="Georgia" w:cs="Georgia"/>
          <w:color w:val="000000"/>
        </w:rPr>
        <w:t>)</w:t>
      </w:r>
    </w:p>
    <w:p w14:paraId="125D3FD0" w14:textId="77777777" w:rsidR="00BA780F" w:rsidRDefault="00000000">
      <w:pPr>
        <w:spacing w:before="315" w:after="105" w:line="360" w:lineRule="auto"/>
        <w:ind w:left="-30"/>
      </w:pPr>
      <w:bookmarkStart w:id="32" w:name="e4_sem_path_models_of_trust_fairn_b0e9c6"/>
      <w:r>
        <w:rPr>
          <w:rFonts w:eastAsia="Georgia" w:hAnsi="Georgia" w:cs="Georgia"/>
          <w:b/>
          <w:color w:val="000000"/>
          <w:sz w:val="24"/>
        </w:rPr>
        <w:t>E4. SEM / path models of trust–fairness–legitimacy–support</w:t>
      </w:r>
      <w:bookmarkEnd w:id="32"/>
    </w:p>
    <w:p w14:paraId="1E65C3C4" w14:textId="77777777" w:rsidR="00BA780F" w:rsidRDefault="00000000">
      <w:pPr>
        <w:numPr>
          <w:ilvl w:val="0"/>
          <w:numId w:val="78"/>
        </w:numPr>
        <w:spacing w:before="105" w:after="105" w:line="360" w:lineRule="auto"/>
      </w:pPr>
      <w:r>
        <w:rPr>
          <w:rFonts w:eastAsia="Georgia" w:hAnsi="Georgia" w:cs="Georgia"/>
          <w:b/>
          <w:color w:val="000000"/>
        </w:rPr>
        <w:t>Moffat &amp; Zhang (2014)</w:t>
      </w:r>
      <w:r>
        <w:rPr>
          <w:rFonts w:eastAsia="Georgia" w:hAnsi="Georgia" w:cs="Georgia"/>
          <w:color w:val="000000"/>
        </w:rPr>
        <w:t xml:space="preserve"> — foundational mining-SLO path model. (</w:t>
      </w:r>
      <w:hyperlink r:id="rId138">
        <w:r>
          <w:rPr>
            <w:rFonts w:ascii="helvetica neue" w:eastAsia="helvetica neue" w:hAnsi="helvetica neue" w:cs="helvetica neue"/>
            <w:u w:val="single"/>
          </w:rPr>
          <w:t>DOI</w:t>
        </w:r>
      </w:hyperlink>
      <w:r>
        <w:rPr>
          <w:rFonts w:eastAsia="Georgia" w:hAnsi="Georgia" w:cs="Georgia"/>
          <w:color w:val="000000"/>
        </w:rPr>
        <w:t>)</w:t>
      </w:r>
    </w:p>
    <w:p w14:paraId="4113E855" w14:textId="77777777" w:rsidR="00BA780F" w:rsidRDefault="00000000">
      <w:pPr>
        <w:numPr>
          <w:ilvl w:val="0"/>
          <w:numId w:val="78"/>
        </w:numPr>
        <w:spacing w:before="105" w:after="105" w:line="360" w:lineRule="auto"/>
      </w:pPr>
      <w:r>
        <w:rPr>
          <w:rFonts w:eastAsia="Georgia" w:hAnsi="Georgia" w:cs="Georgia"/>
          <w:b/>
          <w:color w:val="000000"/>
        </w:rPr>
        <w:t>Firestone, Hirt, Bidwell, Gardner &amp; Dwyer (2020)</w:t>
      </w:r>
      <w:r>
        <w:rPr>
          <w:rFonts w:eastAsia="Georgia" w:hAnsi="Georgia" w:cs="Georgia"/>
          <w:color w:val="000000"/>
        </w:rPr>
        <w:t xml:space="preserve"> — Block Island offshore wind: trust → fairness → support. (</w:t>
      </w:r>
      <w:hyperlink r:id="rId139">
        <w:r>
          <w:rPr>
            <w:rFonts w:ascii="helvetica neue" w:eastAsia="helvetica neue" w:hAnsi="helvetica neue" w:cs="helvetica neue"/>
            <w:u w:val="single"/>
          </w:rPr>
          <w:t>DOI</w:t>
        </w:r>
      </w:hyperlink>
      <w:r>
        <w:rPr>
          <w:rFonts w:eastAsia="Georgia" w:hAnsi="Georgia" w:cs="Georgia"/>
          <w:color w:val="000000"/>
        </w:rPr>
        <w:t>)</w:t>
      </w:r>
    </w:p>
    <w:p w14:paraId="33C4CC36" w14:textId="77777777" w:rsidR="00BA780F" w:rsidRDefault="00000000">
      <w:pPr>
        <w:numPr>
          <w:ilvl w:val="0"/>
          <w:numId w:val="78"/>
        </w:numPr>
        <w:spacing w:before="105" w:after="105" w:line="360" w:lineRule="auto"/>
      </w:pPr>
      <w:r>
        <w:rPr>
          <w:rFonts w:eastAsia="Georgia" w:hAnsi="Georgia" w:cs="Georgia"/>
          <w:b/>
          <w:color w:val="000000"/>
        </w:rPr>
        <w:t>San Román-Niaves, Morandini &amp; Pietrantoni (2026)</w:t>
      </w:r>
      <w:r>
        <w:rPr>
          <w:rFonts w:eastAsia="Georgia" w:hAnsi="Georgia" w:cs="Georgia"/>
          <w:color w:val="000000"/>
        </w:rPr>
        <w:t xml:space="preserve"> — recent SEM directly on CCS acceptance with trust as core predictor. (</w:t>
      </w:r>
      <w:hyperlink r:id="rId140">
        <w:r>
          <w:rPr>
            <w:rFonts w:ascii="helvetica neue" w:eastAsia="helvetica neue" w:hAnsi="helvetica neue" w:cs="helvetica neue"/>
            <w:u w:val="single"/>
          </w:rPr>
          <w:t>DOI</w:t>
        </w:r>
      </w:hyperlink>
      <w:r>
        <w:rPr>
          <w:rFonts w:eastAsia="Georgia" w:hAnsi="Georgia" w:cs="Georgia"/>
          <w:color w:val="000000"/>
        </w:rPr>
        <w:t>)</w:t>
      </w:r>
    </w:p>
    <w:p w14:paraId="1FDB0A76" w14:textId="77777777" w:rsidR="00BA780F" w:rsidRDefault="00000000">
      <w:pPr>
        <w:spacing w:before="315" w:after="105" w:line="360" w:lineRule="auto"/>
        <w:ind w:left="-30"/>
      </w:pPr>
      <w:bookmarkStart w:id="33" w:name="e5_mixed_methods_values_scenario_studies"/>
      <w:r>
        <w:rPr>
          <w:rFonts w:eastAsia="Georgia" w:hAnsi="Georgia" w:cs="Georgia"/>
          <w:b/>
          <w:color w:val="000000"/>
          <w:sz w:val="24"/>
        </w:rPr>
        <w:t>E5. Mixed-methods values + scenario studies</w:t>
      </w:r>
      <w:bookmarkEnd w:id="33"/>
    </w:p>
    <w:p w14:paraId="312D185A" w14:textId="77777777" w:rsidR="00BA780F" w:rsidRDefault="00000000">
      <w:pPr>
        <w:numPr>
          <w:ilvl w:val="0"/>
          <w:numId w:val="79"/>
        </w:numPr>
        <w:spacing w:before="105" w:after="105" w:line="360" w:lineRule="auto"/>
      </w:pPr>
      <w:r>
        <w:rPr>
          <w:rFonts w:eastAsia="Georgia" w:hAnsi="Georgia" w:cs="Georgia"/>
          <w:b/>
          <w:color w:val="000000"/>
        </w:rPr>
        <w:t>Demski, Butler, Parkhill, Spence &amp; Pidgeon (2015)</w:t>
      </w:r>
      <w:r>
        <w:rPr>
          <w:rFonts w:eastAsia="Georgia" w:hAnsi="Georgia" w:cs="Georgia"/>
          <w:color w:val="000000"/>
        </w:rPr>
        <w:t xml:space="preserve"> — deliberative workshops + nationally representative survey. (</w:t>
      </w:r>
      <w:hyperlink r:id="rId141">
        <w:r>
          <w:rPr>
            <w:rFonts w:ascii="helvetica neue" w:eastAsia="helvetica neue" w:hAnsi="helvetica neue" w:cs="helvetica neue"/>
            <w:u w:val="single"/>
          </w:rPr>
          <w:t>DOI</w:t>
        </w:r>
      </w:hyperlink>
      <w:r>
        <w:rPr>
          <w:rFonts w:eastAsia="Georgia" w:hAnsi="Georgia" w:cs="Georgia"/>
          <w:color w:val="000000"/>
        </w:rPr>
        <w:t>)</w:t>
      </w:r>
    </w:p>
    <w:p w14:paraId="2A0BF31D" w14:textId="77777777" w:rsidR="00BA780F" w:rsidRDefault="00000000">
      <w:pPr>
        <w:numPr>
          <w:ilvl w:val="0"/>
          <w:numId w:val="79"/>
        </w:numPr>
        <w:spacing w:before="105" w:after="105" w:line="360" w:lineRule="auto"/>
      </w:pPr>
      <w:r>
        <w:rPr>
          <w:rFonts w:eastAsia="Georgia" w:hAnsi="Georgia" w:cs="Georgia"/>
          <w:b/>
          <w:color w:val="000000"/>
        </w:rPr>
        <w:t>Gough, Cunningham &amp; Mander (2018)</w:t>
      </w:r>
      <w:r>
        <w:rPr>
          <w:rFonts w:eastAsia="Georgia" w:hAnsi="Georgia" w:cs="Georgia"/>
          <w:color w:val="000000"/>
        </w:rPr>
        <w:t xml:space="preserve"> — workshops + interviews for CCS social license. (</w:t>
      </w:r>
      <w:hyperlink r:id="rId142">
        <w:r>
          <w:rPr>
            <w:rFonts w:ascii="helvetica neue" w:eastAsia="helvetica neue" w:hAnsi="helvetica neue" w:cs="helvetica neue"/>
            <w:u w:val="single"/>
          </w:rPr>
          <w:t>DOI</w:t>
        </w:r>
      </w:hyperlink>
      <w:r>
        <w:rPr>
          <w:rFonts w:eastAsia="Georgia" w:hAnsi="Georgia" w:cs="Georgia"/>
          <w:color w:val="000000"/>
        </w:rPr>
        <w:t>)</w:t>
      </w:r>
    </w:p>
    <w:p w14:paraId="277A5EC7" w14:textId="77777777" w:rsidR="00BA780F" w:rsidRDefault="00000000">
      <w:pPr>
        <w:spacing w:before="315" w:after="105" w:line="360" w:lineRule="auto"/>
        <w:ind w:left="-30"/>
      </w:pPr>
      <w:bookmarkStart w:id="34" w:name="e6_regional_affected_community_sa_3d01fc"/>
      <w:r>
        <w:rPr>
          <w:rFonts w:eastAsia="Georgia" w:hAnsi="Georgia" w:cs="Georgia"/>
          <w:b/>
          <w:color w:val="000000"/>
          <w:sz w:val="24"/>
        </w:rPr>
        <w:t>E6. Regional / affected-community samples in fossil-fuel regions</w:t>
      </w:r>
      <w:bookmarkEnd w:id="34"/>
    </w:p>
    <w:p w14:paraId="1C92B776" w14:textId="77777777" w:rsidR="00BA780F" w:rsidRDefault="00000000">
      <w:pPr>
        <w:numPr>
          <w:ilvl w:val="0"/>
          <w:numId w:val="80"/>
        </w:numPr>
        <w:spacing w:before="105" w:after="105" w:line="360" w:lineRule="auto"/>
      </w:pPr>
      <w:r>
        <w:rPr>
          <w:rFonts w:eastAsia="Georgia" w:hAnsi="Georgia" w:cs="Georgia"/>
          <w:b/>
          <w:color w:val="000000"/>
        </w:rPr>
        <w:t>Krause et al. (2014)</w:t>
      </w:r>
      <w:r>
        <w:rPr>
          <w:rFonts w:eastAsia="Georgia" w:hAnsi="Georgia" w:cs="Georgia"/>
          <w:color w:val="000000"/>
        </w:rPr>
        <w:t xml:space="preserve"> — Indiana coal region. (</w:t>
      </w:r>
      <w:hyperlink r:id="rId143">
        <w:r>
          <w:rPr>
            <w:rFonts w:ascii="helvetica neue" w:eastAsia="helvetica neue" w:hAnsi="helvetica neue" w:cs="helvetica neue"/>
            <w:u w:val="single"/>
          </w:rPr>
          <w:t>DOI</w:t>
        </w:r>
      </w:hyperlink>
      <w:r>
        <w:rPr>
          <w:rFonts w:eastAsia="Georgia" w:hAnsi="Georgia" w:cs="Georgia"/>
          <w:color w:val="000000"/>
        </w:rPr>
        <w:t>)</w:t>
      </w:r>
    </w:p>
    <w:p w14:paraId="4394E210" w14:textId="77777777" w:rsidR="00BA780F" w:rsidRDefault="00000000">
      <w:pPr>
        <w:numPr>
          <w:ilvl w:val="0"/>
          <w:numId w:val="80"/>
        </w:numPr>
        <w:spacing w:before="105" w:after="105" w:line="360" w:lineRule="auto"/>
      </w:pPr>
      <w:r>
        <w:rPr>
          <w:rFonts w:eastAsia="Georgia" w:hAnsi="Georgia" w:cs="Georgia"/>
          <w:b/>
          <w:color w:val="000000"/>
        </w:rPr>
        <w:t>Atkinson et al. (2024)</w:t>
      </w:r>
      <w:r>
        <w:rPr>
          <w:rFonts w:eastAsia="Georgia" w:hAnsi="Georgia" w:cs="Georgia"/>
          <w:color w:val="000000"/>
        </w:rPr>
        <w:t xml:space="preserve"> — US Gulf Coast (Texas, Louisiana, Florida). (</w:t>
      </w:r>
      <w:hyperlink r:id="rId144">
        <w:r>
          <w:rPr>
            <w:rFonts w:ascii="helvetica neue" w:eastAsia="helvetica neue" w:hAnsi="helvetica neue" w:cs="helvetica neue"/>
            <w:u w:val="single"/>
          </w:rPr>
          <w:t>DOI</w:t>
        </w:r>
      </w:hyperlink>
      <w:r>
        <w:rPr>
          <w:rFonts w:eastAsia="Georgia" w:hAnsi="Georgia" w:cs="Georgia"/>
          <w:color w:val="000000"/>
        </w:rPr>
        <w:t>)</w:t>
      </w:r>
    </w:p>
    <w:p w14:paraId="41B1627E" w14:textId="77777777" w:rsidR="00BA780F" w:rsidRDefault="00000000">
      <w:pPr>
        <w:numPr>
          <w:ilvl w:val="0"/>
          <w:numId w:val="80"/>
        </w:numPr>
        <w:spacing w:before="105" w:after="105" w:line="360" w:lineRule="auto"/>
      </w:pPr>
      <w:r>
        <w:rPr>
          <w:rFonts w:eastAsia="Georgia" w:hAnsi="Georgia" w:cs="Georgia"/>
          <w:b/>
          <w:color w:val="000000"/>
        </w:rPr>
        <w:t>Cha (2020)</w:t>
      </w:r>
      <w:r>
        <w:rPr>
          <w:rFonts w:eastAsia="Georgia" w:hAnsi="Georgia" w:cs="Georgia"/>
          <w:color w:val="000000"/>
        </w:rPr>
        <w:t xml:space="preserve"> — Wyoming coal interviews. (</w:t>
      </w:r>
      <w:hyperlink r:id="rId145">
        <w:r>
          <w:rPr>
            <w:rFonts w:ascii="helvetica neue" w:eastAsia="helvetica neue" w:hAnsi="helvetica neue" w:cs="helvetica neue"/>
            <w:u w:val="single"/>
          </w:rPr>
          <w:t>DOI</w:t>
        </w:r>
      </w:hyperlink>
      <w:r>
        <w:rPr>
          <w:rFonts w:eastAsia="Georgia" w:hAnsi="Georgia" w:cs="Georgia"/>
          <w:color w:val="000000"/>
        </w:rPr>
        <w:t>)</w:t>
      </w:r>
    </w:p>
    <w:p w14:paraId="4D1C5E14" w14:textId="77777777" w:rsidR="00BA780F" w:rsidRDefault="00000000">
      <w:pPr>
        <w:numPr>
          <w:ilvl w:val="0"/>
          <w:numId w:val="80"/>
        </w:numPr>
        <w:spacing w:before="105" w:after="105" w:line="360" w:lineRule="auto"/>
      </w:pPr>
      <w:r>
        <w:rPr>
          <w:rFonts w:eastAsia="Georgia" w:hAnsi="Georgia" w:cs="Georgia"/>
          <w:b/>
          <w:color w:val="000000"/>
        </w:rPr>
        <w:t>Chewinski et al. (2023)</w:t>
      </w:r>
      <w:r>
        <w:rPr>
          <w:rFonts w:eastAsia="Georgia" w:hAnsi="Georgia" w:cs="Georgia"/>
          <w:color w:val="000000"/>
        </w:rPr>
        <w:t xml:space="preserve"> — Alberta landowners. (</w:t>
      </w:r>
      <w:hyperlink r:id="rId146">
        <w:r>
          <w:rPr>
            <w:rFonts w:ascii="helvetica neue" w:eastAsia="helvetica neue" w:hAnsi="helvetica neue" w:cs="helvetica neue"/>
            <w:u w:val="single"/>
          </w:rPr>
          <w:t>DOI</w:t>
        </w:r>
      </w:hyperlink>
      <w:r>
        <w:rPr>
          <w:rFonts w:eastAsia="Georgia" w:hAnsi="Georgia" w:cs="Georgia"/>
          <w:color w:val="000000"/>
        </w:rPr>
        <w:t>)</w:t>
      </w:r>
    </w:p>
    <w:p w14:paraId="54520B18" w14:textId="77777777" w:rsidR="00BA780F" w:rsidRDefault="00000000">
      <w:pPr>
        <w:numPr>
          <w:ilvl w:val="0"/>
          <w:numId w:val="80"/>
        </w:numPr>
        <w:spacing w:before="105" w:after="105" w:line="360" w:lineRule="auto"/>
      </w:pPr>
      <w:r>
        <w:rPr>
          <w:rFonts w:eastAsia="Georgia" w:hAnsi="Georgia" w:cs="Georgia"/>
          <w:b/>
          <w:color w:val="000000"/>
        </w:rPr>
        <w:t>Bergquist et al. (2020)</w:t>
      </w:r>
      <w:r>
        <w:rPr>
          <w:rFonts w:eastAsia="Georgia" w:hAnsi="Georgia" w:cs="Georgia"/>
          <w:color w:val="000000"/>
        </w:rPr>
        <w:t xml:space="preserve"> — Midwest transmission corridor residents. (</w:t>
      </w:r>
      <w:hyperlink r:id="rId147">
        <w:r>
          <w:rPr>
            <w:rFonts w:ascii="helvetica neue" w:eastAsia="helvetica neue" w:hAnsi="helvetica neue" w:cs="helvetica neue"/>
            <w:u w:val="single"/>
          </w:rPr>
          <w:t>DOI</w:t>
        </w:r>
      </w:hyperlink>
      <w:r>
        <w:rPr>
          <w:rFonts w:eastAsia="Georgia" w:hAnsi="Georgia" w:cs="Georgia"/>
          <w:color w:val="000000"/>
        </w:rPr>
        <w:t>)</w:t>
      </w:r>
    </w:p>
    <w:p w14:paraId="6A806BC9" w14:textId="77777777" w:rsidR="00BA780F" w:rsidRDefault="00000000">
      <w:pPr>
        <w:spacing w:after="210" w:line="360" w:lineRule="auto"/>
        <w:ind w:left="630"/>
      </w:pPr>
      <w:r>
        <w:rPr>
          <w:rFonts w:eastAsia="Georgia" w:hAnsi="Georgia" w:cs="Georgia"/>
          <w:b/>
          <w:color w:val="000000"/>
        </w:rPr>
        <w:t>Recommendation for your design:</w:t>
      </w:r>
      <w:r>
        <w:rPr>
          <w:rFonts w:eastAsia="Georgia" w:hAnsi="Georgia" w:cs="Georgia"/>
          <w:color w:val="000000"/>
        </w:rPr>
        <w:t xml:space="preserve"> Combine Anders et al. (2024) and Liebe &amp; Dobers (2020) as the methodological template. Use Moffat &amp; Zhang (2014) and Firestone et al. (2020) as the SEM/path model precedents. Sample design should follow Atkinson et al. (2024) for Gulf Coast representativeness — but explicitly oversample in proximity to active Louisiana Class VI permitted sites if feasible.</w:t>
      </w:r>
    </w:p>
    <w:p w14:paraId="5BB3F694" w14:textId="77777777" w:rsidR="00BA780F" w:rsidRDefault="00000000">
      <w:pPr>
        <w:spacing w:before="210" w:after="0" w:line="360" w:lineRule="auto"/>
      </w:pPr>
      <w:r>
        <w:rPr>
          <w:noProof/>
        </w:rPr>
      </w:r>
      <w:r>
        <w:rPr>
          <w:noProof/>
        </w:rPr>
        <w:pict w14:anchorId="3ED9818D">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2076F92" w14:textId="77777777" w:rsidR="00BA780F" w:rsidRDefault="00000000">
      <w:pPr>
        <w:spacing w:before="315" w:after="105" w:line="360" w:lineRule="auto"/>
        <w:ind w:left="-30"/>
      </w:pPr>
      <w:bookmarkStart w:id="35" w:name="f_defensible_conceptual_model"/>
      <w:r>
        <w:rPr>
          <w:rFonts w:eastAsia="Georgia" w:hAnsi="Georgia" w:cs="Georgia"/>
          <w:b/>
          <w:color w:val="000000"/>
          <w:sz w:val="24"/>
        </w:rPr>
        <w:t>F. Defensible conceptual model</w:t>
      </w:r>
      <w:bookmarkEnd w:id="35"/>
    </w:p>
    <w:p w14:paraId="12500BC9" w14:textId="77777777" w:rsidR="00BA780F" w:rsidRDefault="00000000">
      <w:pPr>
        <w:spacing w:before="315" w:after="105" w:line="360" w:lineRule="auto"/>
        <w:ind w:left="-30"/>
      </w:pPr>
      <w:bookmarkStart w:id="36" w:name="f1_core_hypothesized_pathway"/>
      <w:r>
        <w:rPr>
          <w:rFonts w:eastAsia="Georgia" w:hAnsi="Georgia" w:cs="Georgia"/>
          <w:b/>
          <w:color w:val="000000"/>
          <w:sz w:val="24"/>
        </w:rPr>
        <w:t>F1. Core hypothesized pathway</w:t>
      </w:r>
      <w:bookmarkEnd w:id="36"/>
    </w:p>
    <w:p w14:paraId="23E0C609" w14:textId="77777777" w:rsidR="00BA780F" w:rsidRDefault="00000000">
      <w:pPr>
        <w:shd w:val="clear" w:color="auto" w:fill="F8F8FA"/>
        <w:spacing w:line="336" w:lineRule="auto"/>
      </w:pPr>
      <w:r>
        <w:rPr>
          <w:rStyle w:val="VerbatimChar"/>
          <w:rFonts w:ascii="menlo" w:eastAsia="menlo" w:hAnsi="menlo" w:cs="menlo"/>
          <w:color w:val="000000"/>
          <w:sz w:val="18"/>
        </w:rPr>
        <w:t>Governance frame  →  Procedural justice perception</w:t>
      </w:r>
      <w:r>
        <w:rPr>
          <w:rStyle w:val="VerbatimChar"/>
          <w:rFonts w:ascii="menlo" w:eastAsia="menlo" w:hAnsi="menlo" w:cs="menlo"/>
          <w:color w:val="000000"/>
          <w:sz w:val="18"/>
        </w:rPr>
        <w:br/>
        <w:t>(state regulatory       ↘</w:t>
      </w:r>
      <w:r>
        <w:rPr>
          <w:rStyle w:val="VerbatimChar"/>
          <w:rFonts w:ascii="menlo" w:eastAsia="menlo" w:hAnsi="menlo" w:cs="menlo"/>
          <w:color w:val="000000"/>
          <w:sz w:val="18"/>
        </w:rPr>
        <w:br/>
        <w:t xml:space="preserve"> approval,             →  Recognition justice perception  →  Institutional trust  →  Perceived legitimacy  →  Support for CCS</w:t>
      </w:r>
      <w:r>
        <w:rPr>
          <w:rStyle w:val="VerbatimChar"/>
          <w:rFonts w:ascii="menlo" w:eastAsia="menlo" w:hAnsi="menlo" w:cs="menlo"/>
          <w:color w:val="000000"/>
          <w:sz w:val="18"/>
        </w:rPr>
        <w:br/>
        <w:t xml:space="preserve"> industry expertise,         (i.e., whose voice counts)</w:t>
      </w:r>
      <w:r>
        <w:rPr>
          <w:rStyle w:val="VerbatimChar"/>
          <w:rFonts w:ascii="menlo" w:eastAsia="menlo" w:hAnsi="menlo" w:cs="menlo"/>
          <w:color w:val="000000"/>
          <w:sz w:val="18"/>
        </w:rPr>
        <w:br/>
        <w:t xml:space="preserve"> local voting/referenda,</w:t>
      </w:r>
      <w:r>
        <w:rPr>
          <w:rStyle w:val="VerbatimChar"/>
          <w:rFonts w:ascii="menlo" w:eastAsia="menlo" w:hAnsi="menlo" w:cs="menlo"/>
          <w:color w:val="000000"/>
          <w:sz w:val="18"/>
        </w:rPr>
        <w:br/>
        <w:t xml:space="preserve"> property-rights protection,</w:t>
      </w:r>
      <w:r>
        <w:rPr>
          <w:rStyle w:val="VerbatimChar"/>
          <w:rFonts w:ascii="menlo" w:eastAsia="menlo" w:hAnsi="menlo" w:cs="menlo"/>
          <w:color w:val="000000"/>
          <w:sz w:val="18"/>
        </w:rPr>
        <w:br/>
        <w:t xml:space="preserve"> affected-community consultation,</w:t>
      </w:r>
      <w:r>
        <w:rPr>
          <w:rStyle w:val="VerbatimChar"/>
          <w:rFonts w:ascii="menlo" w:eastAsia="menlo" w:hAnsi="menlo" w:cs="menlo"/>
          <w:color w:val="000000"/>
          <w:sz w:val="18"/>
        </w:rPr>
        <w:br/>
        <w:t xml:space="preserve"> Tribal consultation,</w:t>
      </w:r>
      <w:r>
        <w:rPr>
          <w:rStyle w:val="VerbatimChar"/>
          <w:rFonts w:ascii="menlo" w:eastAsia="menlo" w:hAnsi="menlo" w:cs="menlo"/>
          <w:color w:val="000000"/>
          <w:sz w:val="18"/>
        </w:rPr>
        <w:br/>
        <w:t xml:space="preserve"> fair process)</w:t>
      </w:r>
      <w:r>
        <w:rPr>
          <w:rStyle w:val="VerbatimChar"/>
          <w:rFonts w:ascii="menlo" w:eastAsia="menlo" w:hAnsi="menlo" w:cs="menlo"/>
          <w:color w:val="000000"/>
          <w:sz w:val="18"/>
        </w:rPr>
        <w:br/>
      </w:r>
    </w:p>
    <w:p w14:paraId="0119FA99" w14:textId="77777777" w:rsidR="00BA780F" w:rsidRDefault="00000000">
      <w:pPr>
        <w:spacing w:after="210" w:line="360" w:lineRule="auto"/>
      </w:pPr>
      <w:r>
        <w:rPr>
          <w:rFonts w:eastAsia="Georgia" w:hAnsi="Georgia" w:cs="Georgia"/>
          <w:color w:val="000000"/>
        </w:rPr>
        <w:t>Procedural justice perception (Tyler's voice, neutrality, trustworthiness, dignitary treatment) and recognition justice perception (whose claims are legitimated as authoritative) are theoretically distinct but empirically correlated. Both feed institutional trust (Moffat &amp; Zhang, 2014; Firestone et al., 2020). Trust mediates perceived legitimacy (Gehman et al., 2017). Legitimacy in turn shapes both attitudinal support and behavioral intentions (e.g., willingness to engage in opposition or advocacy).</w:t>
      </w:r>
    </w:p>
    <w:p w14:paraId="5CAF8351" w14:textId="77777777" w:rsidR="00BA780F" w:rsidRDefault="00000000">
      <w:pPr>
        <w:spacing w:before="315" w:after="105" w:line="360" w:lineRule="auto"/>
        <w:ind w:left="-30"/>
      </w:pPr>
      <w:bookmarkStart w:id="37" w:name="f2_recommended_measurement_architecture"/>
      <w:r>
        <w:rPr>
          <w:rFonts w:eastAsia="Georgia" w:hAnsi="Georgia" w:cs="Georgia"/>
          <w:b/>
          <w:color w:val="000000"/>
          <w:sz w:val="24"/>
        </w:rPr>
        <w:t>F2. Recommended measurement architecture</w:t>
      </w:r>
      <w:bookmarkEnd w:id="37"/>
    </w:p>
    <w:p w14:paraId="544D9C0F" w14:textId="77777777" w:rsidR="00BA780F" w:rsidRDefault="00000000">
      <w:pPr>
        <w:numPr>
          <w:ilvl w:val="0"/>
          <w:numId w:val="81"/>
        </w:numPr>
        <w:spacing w:before="105" w:after="105" w:line="360" w:lineRule="auto"/>
      </w:pPr>
      <w:r>
        <w:rPr>
          <w:rFonts w:eastAsia="Georgia" w:hAnsi="Georgia" w:cs="Georgia"/>
          <w:b/>
          <w:color w:val="000000"/>
        </w:rPr>
        <w:t>Manipulated treatments (between-subject vignette):</w:t>
      </w:r>
      <w:r>
        <w:rPr>
          <w:rFonts w:eastAsia="Georgia" w:hAnsi="Georgia" w:cs="Georgia"/>
          <w:color w:val="000000"/>
        </w:rPr>
        <w:t xml:space="preserve"> governance frame, treated as a factor with 6 levels: (a) state regulator approval; (b) industry technical expertise; (c) local referendum / local voting; (d) property-rights protection; (e) affected-community consultation; (f) Tribal/Indigenous consultation. Plus a control / no-frame condition. Consider a 2 × 3 design crossing frame </w:t>
      </w:r>
      <w:r>
        <w:rPr>
          <w:rFonts w:eastAsia="Georgia" w:hAnsi="Georgia" w:cs="Georgia"/>
          <w:b/>
          <w:color w:val="000000"/>
        </w:rPr>
        <w:t>type</w:t>
      </w:r>
      <w:r>
        <w:rPr>
          <w:rFonts w:eastAsia="Georgia" w:hAnsi="Georgia" w:cs="Georgia"/>
          <w:color w:val="000000"/>
        </w:rPr>
        <w:t xml:space="preserve"> with frame </w:t>
      </w:r>
      <w:r>
        <w:rPr>
          <w:rFonts w:eastAsia="Georgia" w:hAnsi="Georgia" w:cs="Georgia"/>
          <w:b/>
          <w:color w:val="000000"/>
        </w:rPr>
        <w:t>strength</w:t>
      </w:r>
      <w:r>
        <w:rPr>
          <w:rFonts w:eastAsia="Georgia" w:hAnsi="Georgia" w:cs="Georgia"/>
          <w:color w:val="000000"/>
        </w:rPr>
        <w:t xml:space="preserve"> (token vs. substantive) — this leverages Walker et al. (2014)'s boomerang finding.</w:t>
      </w:r>
    </w:p>
    <w:p w14:paraId="4068C464" w14:textId="77777777" w:rsidR="00BA780F" w:rsidRDefault="00000000">
      <w:pPr>
        <w:numPr>
          <w:ilvl w:val="0"/>
          <w:numId w:val="81"/>
        </w:numPr>
        <w:spacing w:before="105" w:after="105" w:line="360" w:lineRule="auto"/>
      </w:pPr>
      <w:r>
        <w:rPr>
          <w:rFonts w:eastAsia="Georgia" w:hAnsi="Georgia" w:cs="Georgia"/>
          <w:b/>
          <w:color w:val="000000"/>
        </w:rPr>
        <w:t>Mediators:</w:t>
      </w:r>
      <w:r>
        <w:rPr>
          <w:rFonts w:eastAsia="Georgia" w:hAnsi="Georgia" w:cs="Georgia"/>
          <w:color w:val="000000"/>
        </w:rPr>
        <w:t xml:space="preserve"> procedural justice perception (Tyler four-item battery); recognition justice perception (whose claims are seen as legitimate); institutional trust (competence-based and integrity-based, Terwel et al., 2009); perceived legitimacy (Gehman et al., 2017 conceptual cues + Tyler legitimacy items).</w:t>
      </w:r>
    </w:p>
    <w:p w14:paraId="0E42FB1C" w14:textId="77777777" w:rsidR="00BA780F" w:rsidRDefault="00000000">
      <w:pPr>
        <w:numPr>
          <w:ilvl w:val="0"/>
          <w:numId w:val="81"/>
        </w:numPr>
        <w:spacing w:before="105" w:after="105" w:line="360" w:lineRule="auto"/>
      </w:pPr>
      <w:r>
        <w:rPr>
          <w:rFonts w:eastAsia="Georgia" w:hAnsi="Georgia" w:cs="Georgia"/>
          <w:b/>
          <w:color w:val="000000"/>
        </w:rPr>
        <w:t>Primary outcome:</w:t>
      </w:r>
      <w:r>
        <w:rPr>
          <w:rFonts w:eastAsia="Georgia" w:hAnsi="Georgia" w:cs="Georgia"/>
          <w:color w:val="000000"/>
        </w:rPr>
        <w:t xml:space="preserve"> support for CCS infrastructure in respondent's region (attitudinal). Secondary: willingness to participate in support/opposition behaviors.</w:t>
      </w:r>
    </w:p>
    <w:p w14:paraId="3AA81F4A" w14:textId="77777777" w:rsidR="00BA780F" w:rsidRDefault="00000000">
      <w:pPr>
        <w:spacing w:before="315" w:after="105" w:line="360" w:lineRule="auto"/>
        <w:ind w:left="-30"/>
      </w:pPr>
      <w:bookmarkStart w:id="38" w:name="f3_controls_moderators"/>
      <w:r>
        <w:rPr>
          <w:rFonts w:eastAsia="Georgia" w:hAnsi="Georgia" w:cs="Georgia"/>
          <w:b/>
          <w:color w:val="000000"/>
          <w:sz w:val="24"/>
        </w:rPr>
        <w:t>F3. Controls / moderators</w:t>
      </w:r>
      <w:bookmarkEnd w:id="38"/>
    </w:p>
    <w:p w14:paraId="5EC5239C" w14:textId="77777777" w:rsidR="00BA780F" w:rsidRDefault="00000000">
      <w:pPr>
        <w:spacing w:after="210" w:line="360" w:lineRule="auto"/>
      </w:pPr>
      <w:r>
        <w:rPr>
          <w:rFonts w:eastAsia="Georgia" w:hAnsi="Georgia" w:cs="Georgia"/>
          <w:color w:val="000000"/>
        </w:rPr>
        <w:t>The following should be measured and tested as moderators or controls (most are well established in the literature):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88"/>
        <w:gridCol w:w="3728"/>
        <w:gridCol w:w="2688"/>
      </w:tblGrid>
      <w:tr w:rsidR="00BA780F" w14:paraId="71AE17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F40DAF" w14:textId="77777777" w:rsidR="00BA780F" w:rsidRDefault="00000000">
            <w:pPr>
              <w:spacing w:line="360" w:lineRule="auto"/>
            </w:pPr>
            <w:r>
              <w:rPr>
                <w:rFonts w:ascii="helvetica neue" w:eastAsia="helvetica neue" w:hAnsi="helvetica neue" w:cs="helvetica neue"/>
                <w:color w:val="000000"/>
                <w:sz w:val="17"/>
              </w:rPr>
              <w:t>Variable</w:t>
            </w:r>
          </w:p>
        </w:tc>
        <w:tc>
          <w:tcPr>
            <w:tcW w:w="0" w:type="auto"/>
            <w:tcBorders>
              <w:top w:val="single" w:sz="1" w:space="0" w:color="000000"/>
              <w:bottom w:val="single" w:sz="1" w:space="0" w:color="000000"/>
              <w:right w:val="single" w:sz="1" w:space="0" w:color="000000"/>
            </w:tcBorders>
          </w:tcPr>
          <w:p w14:paraId="6CBDCFA2" w14:textId="77777777" w:rsidR="00BA780F" w:rsidRDefault="00000000">
            <w:pPr>
              <w:spacing w:line="360" w:lineRule="auto"/>
            </w:pPr>
            <w:r>
              <w:rPr>
                <w:rFonts w:ascii="helvetica neue" w:eastAsia="helvetica neue" w:hAnsi="helvetica neue" w:cs="helvetica neue"/>
                <w:color w:val="000000"/>
                <w:sz w:val="17"/>
              </w:rPr>
              <w:t>Rationale</w:t>
            </w:r>
          </w:p>
        </w:tc>
        <w:tc>
          <w:tcPr>
            <w:tcW w:w="0" w:type="auto"/>
            <w:tcBorders>
              <w:top w:val="single" w:sz="1" w:space="0" w:color="000000"/>
              <w:bottom w:val="single" w:sz="1" w:space="0" w:color="000000"/>
            </w:tcBorders>
          </w:tcPr>
          <w:p w14:paraId="48D36A9E" w14:textId="77777777" w:rsidR="00BA780F" w:rsidRDefault="00000000">
            <w:pPr>
              <w:spacing w:line="360" w:lineRule="auto"/>
            </w:pPr>
            <w:r>
              <w:rPr>
                <w:rFonts w:ascii="helvetica neue" w:eastAsia="helvetica neue" w:hAnsi="helvetica neue" w:cs="helvetica neue"/>
                <w:color w:val="000000"/>
                <w:sz w:val="17"/>
              </w:rPr>
              <w:t>Source</w:t>
            </w:r>
          </w:p>
        </w:tc>
      </w:tr>
      <w:tr w:rsidR="00BA780F" w14:paraId="5EA13C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C76243" w14:textId="77777777" w:rsidR="00BA780F" w:rsidRDefault="00000000">
            <w:pPr>
              <w:spacing w:line="360" w:lineRule="auto"/>
            </w:pPr>
            <w:r>
              <w:rPr>
                <w:rFonts w:ascii="helvetica neue" w:eastAsia="helvetica neue" w:hAnsi="helvetica neue" w:cs="helvetica neue"/>
                <w:color w:val="000000"/>
                <w:sz w:val="17"/>
              </w:rPr>
              <w:t>Landowner status</w:t>
            </w:r>
          </w:p>
        </w:tc>
        <w:tc>
          <w:tcPr>
            <w:tcW w:w="0" w:type="auto"/>
            <w:tcBorders>
              <w:top w:val="single" w:sz="1" w:space="0" w:color="000000"/>
              <w:bottom w:val="single" w:sz="1" w:space="0" w:color="000000"/>
              <w:right w:val="single" w:sz="1" w:space="0" w:color="000000"/>
            </w:tcBorders>
          </w:tcPr>
          <w:p w14:paraId="02116E00" w14:textId="77777777" w:rsidR="00BA780F" w:rsidRDefault="00000000">
            <w:pPr>
              <w:spacing w:line="360" w:lineRule="auto"/>
            </w:pPr>
            <w:r>
              <w:rPr>
                <w:rFonts w:ascii="helvetica neue" w:eastAsia="helvetica neue" w:hAnsi="helvetica neue" w:cs="helvetica neue"/>
                <w:color w:val="000000"/>
                <w:sz w:val="17"/>
              </w:rPr>
              <w:t>Property-rights frame should hit harder for landowners</w:t>
            </w:r>
          </w:p>
        </w:tc>
        <w:tc>
          <w:tcPr>
            <w:tcW w:w="0" w:type="auto"/>
            <w:tcBorders>
              <w:top w:val="single" w:sz="1" w:space="0" w:color="000000"/>
              <w:bottom w:val="single" w:sz="1" w:space="0" w:color="000000"/>
            </w:tcBorders>
          </w:tcPr>
          <w:p w14:paraId="71B59851" w14:textId="77777777" w:rsidR="00BA780F" w:rsidRDefault="00000000">
            <w:pPr>
              <w:spacing w:line="360" w:lineRule="auto"/>
            </w:pPr>
            <w:r>
              <w:rPr>
                <w:rFonts w:ascii="helvetica neue" w:eastAsia="helvetica neue" w:hAnsi="helvetica neue" w:cs="helvetica neue"/>
                <w:color w:val="000000"/>
                <w:sz w:val="17"/>
              </w:rPr>
              <w:t>Chewinski et al. (2023)</w:t>
            </w:r>
          </w:p>
        </w:tc>
      </w:tr>
      <w:tr w:rsidR="00BA780F" w14:paraId="66F5C7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9F0DB4" w14:textId="77777777" w:rsidR="00BA780F" w:rsidRDefault="00000000">
            <w:pPr>
              <w:spacing w:line="360" w:lineRule="auto"/>
            </w:pPr>
            <w:r>
              <w:rPr>
                <w:rFonts w:ascii="helvetica neue" w:eastAsia="helvetica neue" w:hAnsi="helvetica neue" w:cs="helvetica neue"/>
                <w:color w:val="000000"/>
                <w:sz w:val="17"/>
              </w:rPr>
              <w:t>Rural identity</w:t>
            </w:r>
          </w:p>
        </w:tc>
        <w:tc>
          <w:tcPr>
            <w:tcW w:w="0" w:type="auto"/>
            <w:tcBorders>
              <w:top w:val="single" w:sz="1" w:space="0" w:color="000000"/>
              <w:bottom w:val="single" w:sz="1" w:space="0" w:color="000000"/>
              <w:right w:val="single" w:sz="1" w:space="0" w:color="000000"/>
            </w:tcBorders>
          </w:tcPr>
          <w:p w14:paraId="72DD94D8" w14:textId="77777777" w:rsidR="00BA780F" w:rsidRDefault="00000000">
            <w:pPr>
              <w:spacing w:line="360" w:lineRule="auto"/>
            </w:pPr>
            <w:r>
              <w:rPr>
                <w:rFonts w:ascii="helvetica neue" w:eastAsia="helvetica neue" w:hAnsi="helvetica neue" w:cs="helvetica neue"/>
                <w:color w:val="000000"/>
                <w:sz w:val="17"/>
              </w:rPr>
              <w:t>Identity-place mechanism</w:t>
            </w:r>
          </w:p>
        </w:tc>
        <w:tc>
          <w:tcPr>
            <w:tcW w:w="0" w:type="auto"/>
            <w:tcBorders>
              <w:top w:val="single" w:sz="1" w:space="0" w:color="000000"/>
              <w:bottom w:val="single" w:sz="1" w:space="0" w:color="000000"/>
            </w:tcBorders>
          </w:tcPr>
          <w:p w14:paraId="39A4163C" w14:textId="77777777" w:rsidR="00BA780F" w:rsidRDefault="00000000">
            <w:pPr>
              <w:spacing w:line="360" w:lineRule="auto"/>
            </w:pPr>
            <w:r>
              <w:rPr>
                <w:rFonts w:ascii="helvetica neue" w:eastAsia="helvetica neue" w:hAnsi="helvetica neue" w:cs="helvetica neue"/>
                <w:color w:val="000000"/>
                <w:sz w:val="17"/>
              </w:rPr>
              <w:t>Bergquist et al. (2020); Cha (2020)</w:t>
            </w:r>
          </w:p>
        </w:tc>
      </w:tr>
      <w:tr w:rsidR="00BA780F" w14:paraId="1502B3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FAF7F0" w14:textId="77777777" w:rsidR="00BA780F" w:rsidRDefault="00000000">
            <w:pPr>
              <w:spacing w:line="360" w:lineRule="auto"/>
            </w:pPr>
            <w:r>
              <w:rPr>
                <w:rFonts w:ascii="helvetica neue" w:eastAsia="helvetica neue" w:hAnsi="helvetica neue" w:cs="helvetica neue"/>
                <w:color w:val="000000"/>
                <w:sz w:val="17"/>
              </w:rPr>
              <w:t>Political ideology</w:t>
            </w:r>
          </w:p>
        </w:tc>
        <w:tc>
          <w:tcPr>
            <w:tcW w:w="0" w:type="auto"/>
            <w:tcBorders>
              <w:top w:val="single" w:sz="1" w:space="0" w:color="000000"/>
              <w:bottom w:val="single" w:sz="1" w:space="0" w:color="000000"/>
              <w:right w:val="single" w:sz="1" w:space="0" w:color="000000"/>
            </w:tcBorders>
          </w:tcPr>
          <w:p w14:paraId="2006B131" w14:textId="77777777" w:rsidR="00BA780F" w:rsidRDefault="00000000">
            <w:pPr>
              <w:spacing w:line="360" w:lineRule="auto"/>
            </w:pPr>
            <w:r>
              <w:rPr>
                <w:rFonts w:ascii="helvetica neue" w:eastAsia="helvetica neue" w:hAnsi="helvetica neue" w:cs="helvetica neue"/>
                <w:color w:val="000000"/>
                <w:sz w:val="17"/>
              </w:rPr>
              <w:t>Standard control; expect strong main effect on CCS</w:t>
            </w:r>
          </w:p>
        </w:tc>
        <w:tc>
          <w:tcPr>
            <w:tcW w:w="0" w:type="auto"/>
            <w:tcBorders>
              <w:top w:val="single" w:sz="1" w:space="0" w:color="000000"/>
              <w:bottom w:val="single" w:sz="1" w:space="0" w:color="000000"/>
            </w:tcBorders>
          </w:tcPr>
          <w:p w14:paraId="3BC87A25" w14:textId="77777777" w:rsidR="00BA780F" w:rsidRDefault="00000000">
            <w:pPr>
              <w:spacing w:line="360" w:lineRule="auto"/>
            </w:pPr>
            <w:r>
              <w:rPr>
                <w:rFonts w:ascii="helvetica neue" w:eastAsia="helvetica neue" w:hAnsi="helvetica neue" w:cs="helvetica neue"/>
                <w:color w:val="000000"/>
                <w:sz w:val="17"/>
              </w:rPr>
              <w:t>Pianta et al. (2021); Whitmarsh et al. (2019)</w:t>
            </w:r>
          </w:p>
        </w:tc>
      </w:tr>
      <w:tr w:rsidR="00BA780F" w14:paraId="3279F4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9A3E34" w14:textId="77777777" w:rsidR="00BA780F" w:rsidRDefault="00000000">
            <w:pPr>
              <w:spacing w:line="360" w:lineRule="auto"/>
            </w:pPr>
            <w:r>
              <w:rPr>
                <w:rFonts w:ascii="helvetica neue" w:eastAsia="helvetica neue" w:hAnsi="helvetica neue" w:cs="helvetica neue"/>
                <w:color w:val="000000"/>
                <w:sz w:val="17"/>
              </w:rPr>
              <w:t>Proximity to existing CCS / oil-and-gas infrastructure</w:t>
            </w:r>
          </w:p>
        </w:tc>
        <w:tc>
          <w:tcPr>
            <w:tcW w:w="0" w:type="auto"/>
            <w:tcBorders>
              <w:top w:val="single" w:sz="1" w:space="0" w:color="000000"/>
              <w:bottom w:val="single" w:sz="1" w:space="0" w:color="000000"/>
              <w:right w:val="single" w:sz="1" w:space="0" w:color="000000"/>
            </w:tcBorders>
          </w:tcPr>
          <w:p w14:paraId="6F5108A2" w14:textId="77777777" w:rsidR="00BA780F" w:rsidRDefault="00000000">
            <w:pPr>
              <w:spacing w:line="360" w:lineRule="auto"/>
            </w:pPr>
            <w:r>
              <w:rPr>
                <w:rFonts w:ascii="helvetica neue" w:eastAsia="helvetica neue" w:hAnsi="helvetica neue" w:cs="helvetica neue"/>
                <w:color w:val="000000"/>
                <w:sz w:val="17"/>
              </w:rPr>
              <w:t>Place-protective action; fracking ripple effect</w:t>
            </w:r>
          </w:p>
        </w:tc>
        <w:tc>
          <w:tcPr>
            <w:tcW w:w="0" w:type="auto"/>
            <w:tcBorders>
              <w:top w:val="single" w:sz="1" w:space="0" w:color="000000"/>
              <w:bottom w:val="single" w:sz="1" w:space="0" w:color="000000"/>
            </w:tcBorders>
          </w:tcPr>
          <w:p w14:paraId="12C53474" w14:textId="77777777" w:rsidR="00BA780F" w:rsidRDefault="00000000">
            <w:pPr>
              <w:spacing w:line="360" w:lineRule="auto"/>
            </w:pPr>
            <w:r>
              <w:rPr>
                <w:rFonts w:ascii="helvetica neue" w:eastAsia="helvetica neue" w:hAnsi="helvetica neue" w:cs="helvetica neue"/>
                <w:color w:val="000000"/>
                <w:sz w:val="17"/>
              </w:rPr>
              <w:t>Krause et al. (2014); Cox et al. (2021)</w:t>
            </w:r>
          </w:p>
        </w:tc>
      </w:tr>
      <w:tr w:rsidR="00BA780F" w14:paraId="795E75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A67CDE" w14:textId="77777777" w:rsidR="00BA780F" w:rsidRDefault="00000000">
            <w:pPr>
              <w:spacing w:line="360" w:lineRule="auto"/>
            </w:pPr>
            <w:r>
              <w:rPr>
                <w:rFonts w:ascii="helvetica neue" w:eastAsia="helvetica neue" w:hAnsi="helvetica neue" w:cs="helvetica neue"/>
                <w:color w:val="000000"/>
                <w:sz w:val="17"/>
              </w:rPr>
              <w:t>Prior oil/gas employment in household</w:t>
            </w:r>
          </w:p>
        </w:tc>
        <w:tc>
          <w:tcPr>
            <w:tcW w:w="0" w:type="auto"/>
            <w:tcBorders>
              <w:top w:val="single" w:sz="1" w:space="0" w:color="000000"/>
              <w:bottom w:val="single" w:sz="1" w:space="0" w:color="000000"/>
              <w:right w:val="single" w:sz="1" w:space="0" w:color="000000"/>
            </w:tcBorders>
          </w:tcPr>
          <w:p w14:paraId="0D110F5E" w14:textId="77777777" w:rsidR="00BA780F" w:rsidRDefault="00000000">
            <w:pPr>
              <w:spacing w:line="360" w:lineRule="auto"/>
            </w:pPr>
            <w:r>
              <w:rPr>
                <w:rFonts w:ascii="helvetica neue" w:eastAsia="helvetica neue" w:hAnsi="helvetica neue" w:cs="helvetica neue"/>
                <w:color w:val="000000"/>
                <w:sz w:val="17"/>
              </w:rPr>
              <w:t>Identity-based moderator in fossil regions</w:t>
            </w:r>
          </w:p>
        </w:tc>
        <w:tc>
          <w:tcPr>
            <w:tcW w:w="0" w:type="auto"/>
            <w:tcBorders>
              <w:top w:val="single" w:sz="1" w:space="0" w:color="000000"/>
              <w:bottom w:val="single" w:sz="1" w:space="0" w:color="000000"/>
            </w:tcBorders>
          </w:tcPr>
          <w:p w14:paraId="62873DE5" w14:textId="77777777" w:rsidR="00BA780F" w:rsidRDefault="00000000">
            <w:pPr>
              <w:spacing w:line="360" w:lineRule="auto"/>
            </w:pPr>
            <w:r>
              <w:rPr>
                <w:rFonts w:ascii="helvetica neue" w:eastAsia="helvetica neue" w:hAnsi="helvetica neue" w:cs="helvetica neue"/>
                <w:color w:val="000000"/>
                <w:sz w:val="17"/>
              </w:rPr>
              <w:t>Cha (2020)</w:t>
            </w:r>
          </w:p>
        </w:tc>
      </w:tr>
      <w:tr w:rsidR="00BA780F" w14:paraId="652BDA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D24EA4" w14:textId="77777777" w:rsidR="00BA780F" w:rsidRDefault="00000000">
            <w:pPr>
              <w:spacing w:line="360" w:lineRule="auto"/>
            </w:pPr>
            <w:r>
              <w:rPr>
                <w:rFonts w:ascii="helvetica neue" w:eastAsia="helvetica neue" w:hAnsi="helvetica neue" w:cs="helvetica neue"/>
                <w:color w:val="000000"/>
                <w:sz w:val="17"/>
              </w:rPr>
              <w:t>Climate concern</w:t>
            </w:r>
          </w:p>
        </w:tc>
        <w:tc>
          <w:tcPr>
            <w:tcW w:w="0" w:type="auto"/>
            <w:tcBorders>
              <w:top w:val="single" w:sz="1" w:space="0" w:color="000000"/>
              <w:bottom w:val="single" w:sz="1" w:space="0" w:color="000000"/>
              <w:right w:val="single" w:sz="1" w:space="0" w:color="000000"/>
            </w:tcBorders>
          </w:tcPr>
          <w:p w14:paraId="1A1FBE53" w14:textId="77777777" w:rsidR="00BA780F" w:rsidRDefault="00000000">
            <w:pPr>
              <w:spacing w:line="360" w:lineRule="auto"/>
            </w:pPr>
            <w:r>
              <w:rPr>
                <w:rFonts w:ascii="helvetica neue" w:eastAsia="helvetica neue" w:hAnsi="helvetica neue" w:cs="helvetica neue"/>
                <w:color w:val="000000"/>
                <w:sz w:val="17"/>
              </w:rPr>
              <w:t>Multi-scalar attachment moderator</w:t>
            </w:r>
          </w:p>
        </w:tc>
        <w:tc>
          <w:tcPr>
            <w:tcW w:w="0" w:type="auto"/>
            <w:tcBorders>
              <w:top w:val="single" w:sz="1" w:space="0" w:color="000000"/>
              <w:bottom w:val="single" w:sz="1" w:space="0" w:color="000000"/>
            </w:tcBorders>
          </w:tcPr>
          <w:p w14:paraId="4ED53A56" w14:textId="77777777" w:rsidR="00BA780F" w:rsidRDefault="00000000">
            <w:pPr>
              <w:spacing w:line="360" w:lineRule="auto"/>
            </w:pPr>
            <w:r>
              <w:rPr>
                <w:rFonts w:ascii="helvetica neue" w:eastAsia="helvetica neue" w:hAnsi="helvetica neue" w:cs="helvetica neue"/>
                <w:color w:val="000000"/>
                <w:sz w:val="17"/>
              </w:rPr>
              <w:t>Devine-Wright &amp; Batel (2017)</w:t>
            </w:r>
          </w:p>
        </w:tc>
      </w:tr>
      <w:tr w:rsidR="00BA780F" w14:paraId="20C803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6356E6" w14:textId="77777777" w:rsidR="00BA780F" w:rsidRDefault="00000000">
            <w:pPr>
              <w:spacing w:line="360" w:lineRule="auto"/>
            </w:pPr>
            <w:r>
              <w:rPr>
                <w:rFonts w:ascii="helvetica neue" w:eastAsia="helvetica neue" w:hAnsi="helvetica neue" w:cs="helvetica neue"/>
                <w:color w:val="000000"/>
                <w:sz w:val="17"/>
              </w:rPr>
              <w:t>Perceived economic benefits / job impact</w:t>
            </w:r>
          </w:p>
        </w:tc>
        <w:tc>
          <w:tcPr>
            <w:tcW w:w="0" w:type="auto"/>
            <w:tcBorders>
              <w:top w:val="single" w:sz="1" w:space="0" w:color="000000"/>
              <w:bottom w:val="single" w:sz="1" w:space="0" w:color="000000"/>
              <w:right w:val="single" w:sz="1" w:space="0" w:color="000000"/>
            </w:tcBorders>
          </w:tcPr>
          <w:p w14:paraId="2409B0F7" w14:textId="77777777" w:rsidR="00BA780F" w:rsidRDefault="00000000">
            <w:pPr>
              <w:spacing w:line="360" w:lineRule="auto"/>
            </w:pPr>
            <w:r>
              <w:rPr>
                <w:rFonts w:ascii="helvetica neue" w:eastAsia="helvetica neue" w:hAnsi="helvetica neue" w:cs="helvetica neue"/>
                <w:color w:val="000000"/>
                <w:sz w:val="17"/>
              </w:rPr>
              <w:t>Direct comparator to procedural frames</w:t>
            </w:r>
          </w:p>
        </w:tc>
        <w:tc>
          <w:tcPr>
            <w:tcW w:w="0" w:type="auto"/>
            <w:tcBorders>
              <w:top w:val="single" w:sz="1" w:space="0" w:color="000000"/>
              <w:bottom w:val="single" w:sz="1" w:space="0" w:color="000000"/>
            </w:tcBorders>
          </w:tcPr>
          <w:p w14:paraId="22D6AD6D" w14:textId="77777777" w:rsidR="00BA780F" w:rsidRDefault="00000000">
            <w:pPr>
              <w:spacing w:line="360" w:lineRule="auto"/>
            </w:pPr>
            <w:r>
              <w:rPr>
                <w:rFonts w:ascii="helvetica neue" w:eastAsia="helvetica neue" w:hAnsi="helvetica neue" w:cs="helvetica neue"/>
                <w:color w:val="000000"/>
                <w:sz w:val="17"/>
              </w:rPr>
              <w:t>Walker et al. (2014); Bergquist et al. (2020)</w:t>
            </w:r>
          </w:p>
        </w:tc>
      </w:tr>
      <w:tr w:rsidR="00BA780F" w14:paraId="550D5E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2F4B6A" w14:textId="77777777" w:rsidR="00BA780F" w:rsidRDefault="00000000">
            <w:pPr>
              <w:spacing w:line="360" w:lineRule="auto"/>
            </w:pPr>
            <w:r>
              <w:rPr>
                <w:rFonts w:ascii="helvetica neue" w:eastAsia="helvetica neue" w:hAnsi="helvetica neue" w:cs="helvetica neue"/>
                <w:color w:val="000000"/>
                <w:sz w:val="17"/>
              </w:rPr>
              <w:t>Perceived environmental benefits</w:t>
            </w:r>
          </w:p>
        </w:tc>
        <w:tc>
          <w:tcPr>
            <w:tcW w:w="0" w:type="auto"/>
            <w:tcBorders>
              <w:top w:val="single" w:sz="1" w:space="0" w:color="000000"/>
              <w:bottom w:val="single" w:sz="1" w:space="0" w:color="000000"/>
              <w:right w:val="single" w:sz="1" w:space="0" w:color="000000"/>
            </w:tcBorders>
          </w:tcPr>
          <w:p w14:paraId="156CE878" w14:textId="77777777" w:rsidR="00BA780F" w:rsidRDefault="00000000">
            <w:pPr>
              <w:spacing w:line="360" w:lineRule="auto"/>
            </w:pPr>
            <w:r>
              <w:rPr>
                <w:rFonts w:ascii="helvetica neue" w:eastAsia="helvetica neue" w:hAnsi="helvetica neue" w:cs="helvetica neue"/>
                <w:color w:val="000000"/>
                <w:sz w:val="17"/>
              </w:rPr>
              <w:t>Counter-mediator to fossil-lock-in critique</w:t>
            </w:r>
          </w:p>
        </w:tc>
        <w:tc>
          <w:tcPr>
            <w:tcW w:w="0" w:type="auto"/>
            <w:tcBorders>
              <w:top w:val="single" w:sz="1" w:space="0" w:color="000000"/>
              <w:bottom w:val="single" w:sz="1" w:space="0" w:color="000000"/>
            </w:tcBorders>
          </w:tcPr>
          <w:p w14:paraId="0E1EF799" w14:textId="77777777" w:rsidR="00BA780F" w:rsidRDefault="00000000">
            <w:pPr>
              <w:spacing w:line="360" w:lineRule="auto"/>
            </w:pPr>
            <w:r>
              <w:rPr>
                <w:rFonts w:ascii="helvetica neue" w:eastAsia="helvetica neue" w:hAnsi="helvetica neue" w:cs="helvetica neue"/>
                <w:color w:val="000000"/>
                <w:sz w:val="17"/>
              </w:rPr>
              <w:t>Thomas et al. (2018)</w:t>
            </w:r>
          </w:p>
        </w:tc>
      </w:tr>
      <w:tr w:rsidR="00BA780F" w14:paraId="28829C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E7B93D" w14:textId="77777777" w:rsidR="00BA780F" w:rsidRDefault="00000000">
            <w:pPr>
              <w:spacing w:line="360" w:lineRule="auto"/>
            </w:pPr>
            <w:r>
              <w:rPr>
                <w:rFonts w:ascii="helvetica neue" w:eastAsia="helvetica neue" w:hAnsi="helvetica neue" w:cs="helvetica neue"/>
                <w:color w:val="000000"/>
                <w:sz w:val="17"/>
              </w:rPr>
              <w:t>Perceived safety risk</w:t>
            </w:r>
          </w:p>
        </w:tc>
        <w:tc>
          <w:tcPr>
            <w:tcW w:w="0" w:type="auto"/>
            <w:tcBorders>
              <w:top w:val="single" w:sz="1" w:space="0" w:color="000000"/>
              <w:bottom w:val="single" w:sz="1" w:space="0" w:color="000000"/>
              <w:right w:val="single" w:sz="1" w:space="0" w:color="000000"/>
            </w:tcBorders>
          </w:tcPr>
          <w:p w14:paraId="60BA505F" w14:textId="77777777" w:rsidR="00BA780F" w:rsidRDefault="00000000">
            <w:pPr>
              <w:spacing w:line="360" w:lineRule="auto"/>
            </w:pPr>
            <w:r>
              <w:rPr>
                <w:rFonts w:ascii="helvetica neue" w:eastAsia="helvetica neue" w:hAnsi="helvetica neue" w:cs="helvetica neue"/>
                <w:color w:val="000000"/>
                <w:sz w:val="17"/>
              </w:rPr>
              <w:t>Standard risk control</w:t>
            </w:r>
          </w:p>
        </w:tc>
        <w:tc>
          <w:tcPr>
            <w:tcW w:w="0" w:type="auto"/>
            <w:tcBorders>
              <w:top w:val="single" w:sz="1" w:space="0" w:color="000000"/>
              <w:bottom w:val="single" w:sz="1" w:space="0" w:color="000000"/>
            </w:tcBorders>
          </w:tcPr>
          <w:p w14:paraId="66AA260D" w14:textId="77777777" w:rsidR="00BA780F" w:rsidRDefault="00000000">
            <w:pPr>
              <w:spacing w:line="360" w:lineRule="auto"/>
            </w:pPr>
            <w:r>
              <w:rPr>
                <w:rFonts w:ascii="helvetica neue" w:eastAsia="helvetica neue" w:hAnsi="helvetica neue" w:cs="helvetica neue"/>
                <w:color w:val="000000"/>
                <w:sz w:val="17"/>
              </w:rPr>
              <w:t>Krause et al. (2014); Terwel et al. (2009)</w:t>
            </w:r>
          </w:p>
        </w:tc>
      </w:tr>
      <w:tr w:rsidR="00BA780F" w14:paraId="269E82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C973FA" w14:textId="77777777" w:rsidR="00BA780F" w:rsidRDefault="00000000">
            <w:pPr>
              <w:spacing w:line="360" w:lineRule="auto"/>
            </w:pPr>
            <w:r>
              <w:rPr>
                <w:rFonts w:ascii="helvetica neue" w:eastAsia="helvetica neue" w:hAnsi="helvetica neue" w:cs="helvetica neue"/>
                <w:color w:val="000000"/>
                <w:sz w:val="17"/>
              </w:rPr>
              <w:t>Trust in scientists, in government, in industry (pre-treatment)</w:t>
            </w:r>
          </w:p>
        </w:tc>
        <w:tc>
          <w:tcPr>
            <w:tcW w:w="0" w:type="auto"/>
            <w:tcBorders>
              <w:top w:val="single" w:sz="1" w:space="0" w:color="000000"/>
              <w:bottom w:val="single" w:sz="1" w:space="0" w:color="000000"/>
              <w:right w:val="single" w:sz="1" w:space="0" w:color="000000"/>
            </w:tcBorders>
          </w:tcPr>
          <w:p w14:paraId="0C730A8D" w14:textId="77777777" w:rsidR="00BA780F" w:rsidRDefault="00000000">
            <w:pPr>
              <w:spacing w:line="360" w:lineRule="auto"/>
            </w:pPr>
            <w:r>
              <w:rPr>
                <w:rFonts w:ascii="helvetica neue" w:eastAsia="helvetica neue" w:hAnsi="helvetica neue" w:cs="helvetica neue"/>
                <w:color w:val="000000"/>
                <w:sz w:val="17"/>
              </w:rPr>
              <w:t>Differentiated trust baseline</w:t>
            </w:r>
          </w:p>
        </w:tc>
        <w:tc>
          <w:tcPr>
            <w:tcW w:w="0" w:type="auto"/>
            <w:tcBorders>
              <w:top w:val="single" w:sz="1" w:space="0" w:color="000000"/>
              <w:bottom w:val="single" w:sz="1" w:space="0" w:color="000000"/>
            </w:tcBorders>
          </w:tcPr>
          <w:p w14:paraId="346876B3" w14:textId="77777777" w:rsidR="00BA780F" w:rsidRDefault="00000000">
            <w:pPr>
              <w:spacing w:line="360" w:lineRule="auto"/>
            </w:pPr>
            <w:r>
              <w:rPr>
                <w:rFonts w:ascii="helvetica neue" w:eastAsia="helvetica neue" w:hAnsi="helvetica neue" w:cs="helvetica neue"/>
                <w:color w:val="000000"/>
                <w:sz w:val="17"/>
              </w:rPr>
              <w:t>Terwel et al. (2009); San Román-Niaves et al. (2026)</w:t>
            </w:r>
          </w:p>
        </w:tc>
      </w:tr>
      <w:tr w:rsidR="00BA780F" w14:paraId="39E74C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08E66B" w14:textId="77777777" w:rsidR="00BA780F" w:rsidRDefault="00000000">
            <w:pPr>
              <w:spacing w:line="360" w:lineRule="auto"/>
            </w:pPr>
            <w:r>
              <w:rPr>
                <w:rFonts w:ascii="helvetica neue" w:eastAsia="helvetica neue" w:hAnsi="helvetica neue" w:cs="helvetica neue"/>
                <w:color w:val="000000"/>
                <w:sz w:val="17"/>
              </w:rPr>
              <w:t>Familiarity with CCS (prior awareness)</w:t>
            </w:r>
          </w:p>
        </w:tc>
        <w:tc>
          <w:tcPr>
            <w:tcW w:w="0" w:type="auto"/>
            <w:tcBorders>
              <w:top w:val="single" w:sz="1" w:space="0" w:color="000000"/>
              <w:bottom w:val="single" w:sz="1" w:space="0" w:color="000000"/>
              <w:right w:val="single" w:sz="1" w:space="0" w:color="000000"/>
            </w:tcBorders>
          </w:tcPr>
          <w:p w14:paraId="327C6519" w14:textId="77777777" w:rsidR="00BA780F" w:rsidRDefault="00000000">
            <w:pPr>
              <w:spacing w:line="360" w:lineRule="auto"/>
            </w:pPr>
            <w:r>
              <w:rPr>
                <w:rFonts w:ascii="helvetica neue" w:eastAsia="helvetica neue" w:hAnsi="helvetica neue" w:cs="helvetica neue"/>
                <w:color w:val="000000"/>
                <w:sz w:val="17"/>
              </w:rPr>
              <w:t>Standard control for low-awareness technologies</w:t>
            </w:r>
          </w:p>
        </w:tc>
        <w:tc>
          <w:tcPr>
            <w:tcW w:w="0" w:type="auto"/>
            <w:tcBorders>
              <w:top w:val="single" w:sz="1" w:space="0" w:color="000000"/>
              <w:bottom w:val="single" w:sz="1" w:space="0" w:color="000000"/>
            </w:tcBorders>
          </w:tcPr>
          <w:p w14:paraId="693F3BD5" w14:textId="77777777" w:rsidR="00BA780F" w:rsidRDefault="00000000">
            <w:pPr>
              <w:spacing w:line="360" w:lineRule="auto"/>
            </w:pPr>
            <w:r>
              <w:rPr>
                <w:rFonts w:ascii="helvetica neue" w:eastAsia="helvetica neue" w:hAnsi="helvetica neue" w:cs="helvetica neue"/>
                <w:color w:val="000000"/>
                <w:sz w:val="17"/>
              </w:rPr>
              <w:t>L'Orange Seigo et al. (2014)</w:t>
            </w:r>
          </w:p>
        </w:tc>
      </w:tr>
      <w:tr w:rsidR="00BA780F" w14:paraId="468B92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770FB9" w14:textId="77777777" w:rsidR="00BA780F" w:rsidRDefault="00000000">
            <w:pPr>
              <w:spacing w:line="360" w:lineRule="auto"/>
            </w:pPr>
            <w:r>
              <w:rPr>
                <w:rFonts w:ascii="helvetica neue" w:eastAsia="helvetica neue" w:hAnsi="helvetica neue" w:cs="helvetica neue"/>
                <w:color w:val="000000"/>
                <w:sz w:val="17"/>
              </w:rPr>
              <w:t>Identification with Indigenous nation or Tribal affiliation</w:t>
            </w:r>
          </w:p>
        </w:tc>
        <w:tc>
          <w:tcPr>
            <w:tcW w:w="0" w:type="auto"/>
            <w:tcBorders>
              <w:top w:val="single" w:sz="1" w:space="0" w:color="000000"/>
              <w:bottom w:val="single" w:sz="1" w:space="0" w:color="000000"/>
              <w:right w:val="single" w:sz="1" w:space="0" w:color="000000"/>
            </w:tcBorders>
          </w:tcPr>
          <w:p w14:paraId="67A32716" w14:textId="77777777" w:rsidR="00BA780F" w:rsidRDefault="00000000">
            <w:pPr>
              <w:spacing w:line="360" w:lineRule="auto"/>
            </w:pPr>
            <w:r>
              <w:rPr>
                <w:rFonts w:eastAsia="Georgia" w:hAnsi="Georgia" w:cs="Georgia"/>
                <w:b/>
                <w:color w:val="000000"/>
                <w:sz w:val="17"/>
              </w:rPr>
              <w:t>Sub-sample analysis only</w:t>
            </w:r>
            <w:r>
              <w:rPr>
                <w:rFonts w:ascii="helvetica neue" w:eastAsia="helvetica neue" w:hAnsi="helvetica neue" w:cs="helvetica neue"/>
                <w:color w:val="000000"/>
                <w:sz w:val="17"/>
              </w:rPr>
              <w:t xml:space="preserve"> — not a moderator for general public; see Part H</w:t>
            </w:r>
          </w:p>
        </w:tc>
        <w:tc>
          <w:tcPr>
            <w:tcW w:w="0" w:type="auto"/>
            <w:tcBorders>
              <w:top w:val="single" w:sz="1" w:space="0" w:color="000000"/>
              <w:bottom w:val="single" w:sz="1" w:space="0" w:color="000000"/>
            </w:tcBorders>
          </w:tcPr>
          <w:p w14:paraId="791F72FF" w14:textId="77777777" w:rsidR="00BA780F" w:rsidRDefault="00000000">
            <w:pPr>
              <w:spacing w:line="360" w:lineRule="auto"/>
            </w:pPr>
            <w:r>
              <w:rPr>
                <w:rFonts w:ascii="helvetica neue" w:eastAsia="helvetica neue" w:hAnsi="helvetica neue" w:cs="helvetica neue"/>
                <w:color w:val="000000"/>
                <w:sz w:val="17"/>
              </w:rPr>
              <w:t>—</w:t>
            </w:r>
          </w:p>
        </w:tc>
      </w:tr>
    </w:tbl>
    <w:p w14:paraId="736FE367" w14:textId="77777777" w:rsidR="00BA780F" w:rsidRDefault="00BA780F"/>
    <w:p w14:paraId="2673D3F7" w14:textId="77777777" w:rsidR="00BA780F" w:rsidRDefault="00000000">
      <w:pPr>
        <w:spacing w:before="315" w:after="105" w:line="360" w:lineRule="auto"/>
        <w:ind w:left="-30"/>
      </w:pPr>
      <w:bookmarkStart w:id="39" w:name="f4_hypothesized_effects_illustrative"/>
      <w:r>
        <w:rPr>
          <w:rFonts w:eastAsia="Georgia" w:hAnsi="Georgia" w:cs="Georgia"/>
          <w:b/>
          <w:color w:val="000000"/>
          <w:sz w:val="24"/>
        </w:rPr>
        <w:t>F4. Hypothesized effects (illustrative)</w:t>
      </w:r>
      <w:bookmarkEnd w:id="39"/>
    </w:p>
    <w:p w14:paraId="449773C9" w14:textId="77777777" w:rsidR="00BA780F" w:rsidRDefault="00000000">
      <w:pPr>
        <w:numPr>
          <w:ilvl w:val="0"/>
          <w:numId w:val="82"/>
        </w:numPr>
        <w:spacing w:before="105" w:after="105" w:line="360" w:lineRule="auto"/>
      </w:pPr>
      <w:r>
        <w:rPr>
          <w:rFonts w:eastAsia="Georgia" w:hAnsi="Georgia" w:cs="Georgia"/>
          <w:b/>
          <w:color w:val="000000"/>
        </w:rPr>
        <w:t>H1.</w:t>
      </w:r>
      <w:r>
        <w:rPr>
          <w:rFonts w:eastAsia="Georgia" w:hAnsi="Georgia" w:cs="Georgia"/>
          <w:color w:val="000000"/>
        </w:rPr>
        <w:t xml:space="preserve"> Governance frames that emphasize affected-community consultation, Tribal consultation, and local voting will produce higher procedural justice perceptions than industry-expertise or state-regulator-only frames.</w:t>
      </w:r>
    </w:p>
    <w:p w14:paraId="0141C3AF" w14:textId="77777777" w:rsidR="00BA780F" w:rsidRDefault="00000000">
      <w:pPr>
        <w:numPr>
          <w:ilvl w:val="0"/>
          <w:numId w:val="82"/>
        </w:numPr>
        <w:spacing w:before="105" w:after="105" w:line="360" w:lineRule="auto"/>
      </w:pPr>
      <w:r>
        <w:rPr>
          <w:rFonts w:eastAsia="Georgia" w:hAnsi="Georgia" w:cs="Georgia"/>
          <w:b/>
          <w:color w:val="000000"/>
        </w:rPr>
        <w:t>H2.</w:t>
      </w:r>
      <w:r>
        <w:rPr>
          <w:rFonts w:eastAsia="Georgia" w:hAnsi="Georgia" w:cs="Georgia"/>
          <w:color w:val="000000"/>
        </w:rPr>
        <w:t xml:space="preserve"> Procedural justice and recognition justice perceptions independently positively predict institutional trust.</w:t>
      </w:r>
    </w:p>
    <w:p w14:paraId="52FCC5FF" w14:textId="77777777" w:rsidR="00BA780F" w:rsidRDefault="00000000">
      <w:pPr>
        <w:numPr>
          <w:ilvl w:val="0"/>
          <w:numId w:val="82"/>
        </w:numPr>
        <w:spacing w:before="105" w:after="105" w:line="360" w:lineRule="auto"/>
      </w:pPr>
      <w:r>
        <w:rPr>
          <w:rFonts w:eastAsia="Georgia" w:hAnsi="Georgia" w:cs="Georgia"/>
          <w:b/>
          <w:color w:val="000000"/>
        </w:rPr>
        <w:t>H3.</w:t>
      </w:r>
      <w:r>
        <w:rPr>
          <w:rFonts w:eastAsia="Georgia" w:hAnsi="Georgia" w:cs="Georgia"/>
          <w:color w:val="000000"/>
        </w:rPr>
        <w:t xml:space="preserve"> Institutional trust positively predicts perceived legitimacy.</w:t>
      </w:r>
    </w:p>
    <w:p w14:paraId="4644B508" w14:textId="77777777" w:rsidR="00BA780F" w:rsidRDefault="00000000">
      <w:pPr>
        <w:numPr>
          <w:ilvl w:val="0"/>
          <w:numId w:val="82"/>
        </w:numPr>
        <w:spacing w:before="105" w:after="105" w:line="360" w:lineRule="auto"/>
      </w:pPr>
      <w:r>
        <w:rPr>
          <w:rFonts w:eastAsia="Georgia" w:hAnsi="Georgia" w:cs="Georgia"/>
          <w:b/>
          <w:color w:val="000000"/>
        </w:rPr>
        <w:t>H4.</w:t>
      </w:r>
      <w:r>
        <w:rPr>
          <w:rFonts w:eastAsia="Georgia" w:hAnsi="Georgia" w:cs="Georgia"/>
          <w:color w:val="000000"/>
        </w:rPr>
        <w:t xml:space="preserve"> Perceived legitimacy positively predicts support for CCS infrastructure, net of perceived risks and benefits.</w:t>
      </w:r>
    </w:p>
    <w:p w14:paraId="54E1E0B4" w14:textId="77777777" w:rsidR="00BA780F" w:rsidRDefault="00000000">
      <w:pPr>
        <w:numPr>
          <w:ilvl w:val="0"/>
          <w:numId w:val="82"/>
        </w:numPr>
        <w:spacing w:before="105" w:after="105" w:line="360" w:lineRule="auto"/>
      </w:pPr>
      <w:r>
        <w:rPr>
          <w:rFonts w:eastAsia="Georgia" w:hAnsi="Georgia" w:cs="Georgia"/>
          <w:b/>
          <w:color w:val="000000"/>
        </w:rPr>
        <w:t>H5.</w:t>
      </w:r>
      <w:r>
        <w:rPr>
          <w:rFonts w:eastAsia="Georgia" w:hAnsi="Georgia" w:cs="Georgia"/>
          <w:color w:val="000000"/>
        </w:rPr>
        <w:t xml:space="preserve"> The effects of governance frames on support are mediated through procedural justice → trust → legitimacy.</w:t>
      </w:r>
    </w:p>
    <w:p w14:paraId="78762956" w14:textId="77777777" w:rsidR="00BA780F" w:rsidRDefault="00000000">
      <w:pPr>
        <w:numPr>
          <w:ilvl w:val="0"/>
          <w:numId w:val="82"/>
        </w:numPr>
        <w:spacing w:before="105" w:after="105" w:line="360" w:lineRule="auto"/>
      </w:pPr>
      <w:r>
        <w:rPr>
          <w:rFonts w:eastAsia="Georgia" w:hAnsi="Georgia" w:cs="Georgia"/>
          <w:b/>
          <w:color w:val="000000"/>
        </w:rPr>
        <w:t>H6.</w:t>
      </w:r>
      <w:r>
        <w:rPr>
          <w:rFonts w:eastAsia="Georgia" w:hAnsi="Georgia" w:cs="Georgia"/>
          <w:color w:val="000000"/>
        </w:rPr>
        <w:t xml:space="preserve"> Frame effects are moderated by landowner status, rural identity, political ideology, and proximity/prior oil-and-gas experience.</w:t>
      </w:r>
    </w:p>
    <w:p w14:paraId="681CC12D" w14:textId="77777777" w:rsidR="00BA780F" w:rsidRDefault="00000000">
      <w:pPr>
        <w:spacing w:before="210" w:after="0" w:line="360" w:lineRule="auto"/>
      </w:pPr>
      <w:r>
        <w:rPr>
          <w:noProof/>
        </w:rPr>
      </w:r>
      <w:r>
        <w:rPr>
          <w:noProof/>
        </w:rPr>
        <w:pict w14:anchorId="2B4B4AE7">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22BBBC8" w14:textId="77777777" w:rsidR="00BA780F" w:rsidRDefault="00000000">
      <w:pPr>
        <w:spacing w:before="315" w:after="105" w:line="360" w:lineRule="auto"/>
        <w:ind w:left="-30"/>
      </w:pPr>
      <w:bookmarkStart w:id="40" w:name="g_strongest_research_gap_and_cont_173ce8"/>
      <w:r>
        <w:rPr>
          <w:rFonts w:eastAsia="Georgia" w:hAnsi="Georgia" w:cs="Georgia"/>
          <w:b/>
          <w:color w:val="000000"/>
          <w:sz w:val="24"/>
        </w:rPr>
        <w:t xml:space="preserve">G. Strongest research gap and contribution statement for </w:t>
      </w:r>
      <w:r>
        <w:rPr>
          <w:rFonts w:eastAsia="Georgia" w:hAnsi="Georgia" w:cs="Georgia"/>
          <w:b/>
          <w:i/>
          <w:color w:val="000000"/>
          <w:sz w:val="24"/>
        </w:rPr>
        <w:t>ERSS</w:t>
      </w:r>
      <w:bookmarkEnd w:id="40"/>
    </w:p>
    <w:p w14:paraId="52CFB8BA" w14:textId="77777777" w:rsidR="00BA780F" w:rsidRDefault="00000000">
      <w:pPr>
        <w:spacing w:before="315" w:after="105" w:line="360" w:lineRule="auto"/>
        <w:ind w:left="-30"/>
      </w:pPr>
      <w:bookmarkStart w:id="41" w:name="g1_the_gap"/>
      <w:r>
        <w:rPr>
          <w:rFonts w:eastAsia="Georgia" w:hAnsi="Georgia" w:cs="Georgia"/>
          <w:b/>
          <w:color w:val="000000"/>
          <w:sz w:val="24"/>
        </w:rPr>
        <w:t>G1. The gap</w:t>
      </w:r>
      <w:bookmarkEnd w:id="41"/>
    </w:p>
    <w:p w14:paraId="05EEA5F2" w14:textId="77777777" w:rsidR="00BA780F" w:rsidRDefault="00000000">
      <w:pPr>
        <w:spacing w:after="210" w:line="360" w:lineRule="auto"/>
      </w:pPr>
      <w:r>
        <w:rPr>
          <w:rFonts w:eastAsia="Georgia" w:hAnsi="Georgia" w:cs="Georgia"/>
          <w:color w:val="000000"/>
        </w:rPr>
        <w:t>After reading across the six streams, the strongest single gap is this:</w:t>
      </w:r>
    </w:p>
    <w:p w14:paraId="2F60D762" w14:textId="77777777" w:rsidR="00BA780F" w:rsidRDefault="00000000">
      <w:pPr>
        <w:spacing w:after="210" w:line="360" w:lineRule="auto"/>
        <w:ind w:left="630"/>
      </w:pPr>
      <w:r>
        <w:rPr>
          <w:rFonts w:eastAsia="Georgia" w:hAnsi="Georgia" w:cs="Georgia"/>
          <w:b/>
          <w:color w:val="000000"/>
        </w:rPr>
        <w:t xml:space="preserve">There is no peer-reviewed experimental study that tests how </w:t>
      </w:r>
      <w:r>
        <w:rPr>
          <w:rFonts w:eastAsia="Georgia" w:hAnsi="Georgia" w:cs="Georgia"/>
          <w:b/>
          <w:i/>
          <w:color w:val="000000"/>
        </w:rPr>
        <w:t>governance frames — particularly affected-community, Tribal-consultation, property-rights, and local-control frames — shape perceived procedural fairness, recognition justice, institutional trust, and perceived legitimacy for CCS infrastructure in a US fossil-fuel-producing region.</w:t>
      </w:r>
    </w:p>
    <w:p w14:paraId="3133935C" w14:textId="77777777" w:rsidR="00BA780F" w:rsidRDefault="00000000">
      <w:pPr>
        <w:spacing w:after="210" w:line="360" w:lineRule="auto"/>
      </w:pPr>
      <w:r>
        <w:rPr>
          <w:rFonts w:eastAsia="Georgia" w:hAnsi="Georgia" w:cs="Georgia"/>
          <w:color w:val="000000"/>
        </w:rPr>
        <w:t xml:space="preserve">Sub-gaps that converge to make this contribution distinctive for </w:t>
      </w:r>
      <w:r>
        <w:rPr>
          <w:rFonts w:eastAsia="Georgia" w:hAnsi="Georgia" w:cs="Georgia"/>
          <w:i/>
          <w:color w:val="000000"/>
        </w:rPr>
        <w:t>ERSS</w:t>
      </w:r>
      <w:r>
        <w:rPr>
          <w:rFonts w:eastAsia="Georgia" w:hAnsi="Georgia" w:cs="Georgia"/>
          <w:color w:val="000000"/>
        </w:rPr>
        <w:t>:</w:t>
      </w:r>
    </w:p>
    <w:p w14:paraId="22A8F236" w14:textId="77777777" w:rsidR="00BA780F" w:rsidRDefault="00000000">
      <w:pPr>
        <w:numPr>
          <w:ilvl w:val="0"/>
          <w:numId w:val="83"/>
        </w:numPr>
        <w:spacing w:before="105" w:after="105" w:line="360" w:lineRule="auto"/>
      </w:pPr>
      <w:r>
        <w:rPr>
          <w:rFonts w:eastAsia="Georgia" w:hAnsi="Georgia" w:cs="Georgia"/>
          <w:b/>
          <w:color w:val="000000"/>
        </w:rPr>
        <w:t>CCS framing experiments exist</w:t>
      </w:r>
      <w:r>
        <w:rPr>
          <w:rFonts w:eastAsia="Georgia" w:hAnsi="Georgia" w:cs="Georgia"/>
          <w:color w:val="000000"/>
        </w:rPr>
        <w:t xml:space="preserve"> (Whitmarsh et al., 2019; Anders et al., 2024; Pianta et al., 2021) </w:t>
      </w:r>
      <w:r>
        <w:rPr>
          <w:rFonts w:eastAsia="Georgia" w:hAnsi="Georgia" w:cs="Georgia"/>
          <w:b/>
          <w:color w:val="000000"/>
        </w:rPr>
        <w:t>but manipulate technology framing, cross-border governance, or policy-instrument attributes — not governance legitimacy frames per se.</w:t>
      </w:r>
    </w:p>
    <w:p w14:paraId="4660C786" w14:textId="77777777" w:rsidR="00BA780F" w:rsidRDefault="00000000">
      <w:pPr>
        <w:numPr>
          <w:ilvl w:val="0"/>
          <w:numId w:val="83"/>
        </w:numPr>
        <w:spacing w:before="105" w:after="105" w:line="360" w:lineRule="auto"/>
      </w:pPr>
      <w:r>
        <w:rPr>
          <w:rFonts w:eastAsia="Georgia" w:hAnsi="Georgia" w:cs="Georgia"/>
          <w:b/>
          <w:color w:val="000000"/>
        </w:rPr>
        <w:t>Procedural-fairness vignette experiments exist</w:t>
      </w:r>
      <w:r>
        <w:rPr>
          <w:rFonts w:eastAsia="Georgia" w:hAnsi="Georgia" w:cs="Georgia"/>
          <w:color w:val="000000"/>
        </w:rPr>
        <w:t xml:space="preserve"> (Liebe et al., 2017; Liebe &amp; Dobers, 2020; Walker et al., 2014; Chewinski et al., 2023) </w:t>
      </w:r>
      <w:r>
        <w:rPr>
          <w:rFonts w:eastAsia="Georgia" w:hAnsi="Georgia" w:cs="Georgia"/>
          <w:b/>
          <w:color w:val="000000"/>
        </w:rPr>
        <w:t>but in wind contexts, not CCS, and not in US fossil-fuel regions.</w:t>
      </w:r>
    </w:p>
    <w:p w14:paraId="09D34B94" w14:textId="77777777" w:rsidR="00BA780F" w:rsidRDefault="00000000">
      <w:pPr>
        <w:numPr>
          <w:ilvl w:val="0"/>
          <w:numId w:val="83"/>
        </w:numPr>
        <w:spacing w:before="105" w:after="105" w:line="360" w:lineRule="auto"/>
      </w:pPr>
      <w:r>
        <w:rPr>
          <w:rFonts w:eastAsia="Georgia" w:hAnsi="Georgia" w:cs="Georgia"/>
          <w:b/>
          <w:color w:val="000000"/>
        </w:rPr>
        <w:t>CCS social license empirical work exists</w:t>
      </w:r>
      <w:r>
        <w:rPr>
          <w:rFonts w:eastAsia="Georgia" w:hAnsi="Georgia" w:cs="Georgia"/>
          <w:color w:val="000000"/>
        </w:rPr>
        <w:t xml:space="preserve"> (Gough et al., 2018; Hall et al., 2015; Dowd &amp; James, 2014) </w:t>
      </w:r>
      <w:r>
        <w:rPr>
          <w:rFonts w:eastAsia="Georgia" w:hAnsi="Georgia" w:cs="Georgia"/>
          <w:b/>
          <w:color w:val="000000"/>
        </w:rPr>
        <w:t>but is mostly qualitative/deliberative, not experimental, and not US-based.</w:t>
      </w:r>
    </w:p>
    <w:p w14:paraId="0A0735D3" w14:textId="77777777" w:rsidR="00BA780F" w:rsidRDefault="00000000">
      <w:pPr>
        <w:numPr>
          <w:ilvl w:val="0"/>
          <w:numId w:val="83"/>
        </w:numPr>
        <w:spacing w:before="105" w:after="105" w:line="360" w:lineRule="auto"/>
      </w:pPr>
      <w:r>
        <w:rPr>
          <w:rFonts w:eastAsia="Georgia" w:hAnsi="Georgia" w:cs="Georgia"/>
          <w:b/>
          <w:color w:val="000000"/>
        </w:rPr>
        <w:t>Indigenous-rights critiques of energy infrastructure are theoretically developed</w:t>
      </w:r>
      <w:r>
        <w:rPr>
          <w:rFonts w:eastAsia="Georgia" w:hAnsi="Georgia" w:cs="Georgia"/>
          <w:color w:val="000000"/>
        </w:rPr>
        <w:t xml:space="preserve"> (Whyte, Coulthard, Estes, Spice, Gilio-Whitaker, Alexander &amp; Stanley) </w:t>
      </w:r>
      <w:r>
        <w:rPr>
          <w:rFonts w:eastAsia="Georgia" w:hAnsi="Georgia" w:cs="Georgia"/>
          <w:b/>
          <w:color w:val="000000"/>
        </w:rPr>
        <w:t>but not paired with measurement of public perception of Tribal-consultation framing in CCS contexts.</w:t>
      </w:r>
    </w:p>
    <w:p w14:paraId="51A896F3" w14:textId="77777777" w:rsidR="00BA780F" w:rsidRDefault="00000000">
      <w:pPr>
        <w:numPr>
          <w:ilvl w:val="0"/>
          <w:numId w:val="83"/>
        </w:numPr>
        <w:spacing w:before="105" w:after="105" w:line="360" w:lineRule="auto"/>
      </w:pPr>
      <w:r>
        <w:rPr>
          <w:rFonts w:eastAsia="Georgia" w:hAnsi="Georgia" w:cs="Georgia"/>
          <w:b/>
          <w:color w:val="000000"/>
        </w:rPr>
        <w:t>US Gulf Coast CCS acceptance has been minimally studied empirically</w:t>
      </w:r>
      <w:r>
        <w:rPr>
          <w:rFonts w:eastAsia="Georgia" w:hAnsi="Georgia" w:cs="Georgia"/>
          <w:color w:val="000000"/>
        </w:rPr>
        <w:t xml:space="preserve"> (Atkinson et al., 2024 is the principal exception) </w:t>
      </w:r>
      <w:r>
        <w:rPr>
          <w:rFonts w:eastAsia="Georgia" w:hAnsi="Georgia" w:cs="Georgia"/>
          <w:b/>
          <w:color w:val="000000"/>
        </w:rPr>
        <w:t>and never in a governance-frame experimental design.</w:t>
      </w:r>
    </w:p>
    <w:p w14:paraId="4BB3C410" w14:textId="77777777" w:rsidR="00BA780F" w:rsidRDefault="00000000">
      <w:pPr>
        <w:spacing w:before="315" w:after="105" w:line="360" w:lineRule="auto"/>
        <w:ind w:left="-30"/>
      </w:pPr>
      <w:bookmarkStart w:id="42" w:name="g2_a_draft_contribution_statement_ed29fb"/>
      <w:r>
        <w:rPr>
          <w:rFonts w:eastAsia="Georgia" w:hAnsi="Georgia" w:cs="Georgia"/>
          <w:b/>
          <w:color w:val="000000"/>
          <w:sz w:val="24"/>
        </w:rPr>
        <w:t>G2. A draft contribution statement (paste-able)</w:t>
      </w:r>
      <w:bookmarkEnd w:id="42"/>
    </w:p>
    <w:p w14:paraId="4A758735" w14:textId="77777777" w:rsidR="00BA780F" w:rsidRDefault="00000000">
      <w:pPr>
        <w:spacing w:after="210" w:line="360" w:lineRule="auto"/>
        <w:ind w:left="630"/>
      </w:pPr>
      <w:r>
        <w:rPr>
          <w:rFonts w:eastAsia="Georgia" w:hAnsi="Georgia" w:cs="Georgia"/>
          <w:color w:val="000000"/>
        </w:rPr>
        <w:t xml:space="preserve">This study contributes to </w:t>
      </w:r>
      <w:r>
        <w:rPr>
          <w:rFonts w:eastAsia="Georgia" w:hAnsi="Georgia" w:cs="Georgia"/>
          <w:i/>
          <w:color w:val="000000"/>
        </w:rPr>
        <w:t>Energy Research &amp; Social Science</w:t>
      </w:r>
      <w:r>
        <w:rPr>
          <w:rFonts w:eastAsia="Georgia" w:hAnsi="Georgia" w:cs="Georgia"/>
          <w:color w:val="000000"/>
        </w:rPr>
        <w:t xml:space="preserve"> in four ways. First, it operationalizes the energy justice triumvirate — procedural, recognition, and distributive — as measurable perceptions in a vignette experiment on CCS infrastructure, responding to Jenkins et al. (2016) and Sovacool et al. (2016)'s call for empirical applications of energy justice frameworks. Second, it extends the procedural-fairness experimental tradition (Liebe et al., 2017; Walker et al., 2014; Bergquist, 2024) from renewables to CCS, and from European samples to a US fossil-fuel region. Third, it tests the social license to operate construct against rival governance frames within an integrative SEM, addressing critiques of SLO's conceptual vagueness (Owen &amp; Kemp, 2013; Boutilier, 2021) and contributing to its energy-justice reinterpretation (Minadakis &amp; Vega-Araújo, 2024; Ó Maonaigh, Fitzgerald &amp; Reilly, 2025). Fourth, it engages — with explicit methodological caution (see below) — public perceptions of Tribal-consultation framing as a governance frame, contributing to the conversation Alexander and Stanley (2022) open about CCS and settler colonialism while remaining clear about what survey-based public-perception research can and cannot say about Indigenous sovereignty.</w:t>
      </w:r>
    </w:p>
    <w:p w14:paraId="19D0DD97" w14:textId="77777777" w:rsidR="00BA780F" w:rsidRDefault="00000000">
      <w:pPr>
        <w:spacing w:before="210" w:after="0" w:line="360" w:lineRule="auto"/>
      </w:pPr>
      <w:r>
        <w:rPr>
          <w:noProof/>
        </w:rPr>
      </w:r>
      <w:r>
        <w:rPr>
          <w:noProof/>
        </w:rPr>
        <w:pict w14:anchorId="4F7288ED">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D19B74" w14:textId="77777777" w:rsidR="00BA780F" w:rsidRDefault="00000000">
      <w:pPr>
        <w:spacing w:before="315" w:after="105" w:line="360" w:lineRule="auto"/>
        <w:ind w:left="-30"/>
      </w:pPr>
      <w:bookmarkStart w:id="43" w:name="h_methodological_and_ethical_caut_fe0950"/>
      <w:r>
        <w:rPr>
          <w:rFonts w:eastAsia="Georgia" w:hAnsi="Georgia" w:cs="Georgia"/>
          <w:b/>
          <w:color w:val="000000"/>
          <w:sz w:val="24"/>
        </w:rPr>
        <w:t>H. Methodological and ethical cautions (especially Indigenous rights)</w:t>
      </w:r>
      <w:bookmarkEnd w:id="43"/>
    </w:p>
    <w:p w14:paraId="1045BACA" w14:textId="77777777" w:rsidR="00BA780F" w:rsidRDefault="00000000">
      <w:pPr>
        <w:spacing w:after="210" w:line="360" w:lineRule="auto"/>
      </w:pPr>
      <w:r>
        <w:rPr>
          <w:rFonts w:eastAsia="Georgia" w:hAnsi="Georgia" w:cs="Georgia"/>
          <w:color w:val="000000"/>
        </w:rPr>
        <w:t xml:space="preserve">This section is essential. The literature is unambiguous: studies of "public perceptions of Indigenous consultation" are categorically different from research </w:t>
      </w:r>
      <w:r>
        <w:rPr>
          <w:rFonts w:eastAsia="Georgia" w:hAnsi="Georgia" w:cs="Georgia"/>
          <w:b/>
          <w:color w:val="000000"/>
        </w:rPr>
        <w:t>with</w:t>
      </w:r>
      <w:r>
        <w:rPr>
          <w:rFonts w:eastAsia="Georgia" w:hAnsi="Georgia" w:cs="Georgia"/>
          <w:color w:val="000000"/>
        </w:rPr>
        <w:t xml:space="preserve"> or </w:t>
      </w:r>
      <w:r>
        <w:rPr>
          <w:rFonts w:eastAsia="Georgia" w:hAnsi="Georgia" w:cs="Georgia"/>
          <w:b/>
          <w:color w:val="000000"/>
        </w:rPr>
        <w:t>for</w:t>
      </w:r>
      <w:r>
        <w:rPr>
          <w:rFonts w:eastAsia="Georgia" w:hAnsi="Georgia" w:cs="Georgia"/>
          <w:color w:val="000000"/>
        </w:rPr>
        <w:t xml:space="preserve"> Indigenous nations. Both can be valuable; conflating them is harmful and reviewer-fatal at </w:t>
      </w:r>
      <w:r>
        <w:rPr>
          <w:rFonts w:eastAsia="Georgia" w:hAnsi="Georgia" w:cs="Georgia"/>
          <w:i/>
          <w:color w:val="000000"/>
        </w:rPr>
        <w:t>ERSS</w:t>
      </w:r>
      <w:r>
        <w:rPr>
          <w:rFonts w:eastAsia="Georgia" w:hAnsi="Georgia" w:cs="Georgia"/>
          <w:color w:val="000000"/>
        </w:rPr>
        <w:t>.</w:t>
      </w:r>
    </w:p>
    <w:p w14:paraId="5E1B7E6B" w14:textId="77777777" w:rsidR="00BA780F" w:rsidRDefault="00000000">
      <w:pPr>
        <w:spacing w:before="315" w:after="105" w:line="360" w:lineRule="auto"/>
        <w:ind w:left="-30"/>
      </w:pPr>
      <w:bookmarkStart w:id="44" w:name="h1_what_this_manuscript_can_defen_abc1d3"/>
      <w:r>
        <w:rPr>
          <w:rFonts w:eastAsia="Georgia" w:hAnsi="Georgia" w:cs="Georgia"/>
          <w:b/>
          <w:color w:val="000000"/>
          <w:sz w:val="24"/>
        </w:rPr>
        <w:t>H1. What this manuscript can defensibly do</w:t>
      </w:r>
      <w:bookmarkEnd w:id="44"/>
    </w:p>
    <w:p w14:paraId="5FCDC10F" w14:textId="77777777" w:rsidR="00BA780F" w:rsidRDefault="00000000">
      <w:pPr>
        <w:numPr>
          <w:ilvl w:val="0"/>
          <w:numId w:val="84"/>
        </w:numPr>
        <w:spacing w:before="105" w:after="105" w:line="360" w:lineRule="auto"/>
      </w:pPr>
      <w:r>
        <w:rPr>
          <w:rFonts w:eastAsia="Georgia" w:hAnsi="Georgia" w:cs="Georgia"/>
          <w:b/>
          <w:color w:val="000000"/>
        </w:rPr>
        <w:t>Measure how the general public (or a regional public) responds to governance frames that invoke Tribal consultation as one form of legitimacy.</w:t>
      </w:r>
      <w:r>
        <w:rPr>
          <w:rFonts w:eastAsia="Georgia" w:hAnsi="Georgia" w:cs="Georgia"/>
          <w:color w:val="000000"/>
        </w:rPr>
        <w:t xml:space="preserve"> This is a study of settler/general-public attitudes toward an institutional frame, not a study of Indigenous attitudes.</w:t>
      </w:r>
    </w:p>
    <w:p w14:paraId="737455C1" w14:textId="77777777" w:rsidR="00BA780F" w:rsidRDefault="00000000">
      <w:pPr>
        <w:numPr>
          <w:ilvl w:val="0"/>
          <w:numId w:val="84"/>
        </w:numPr>
        <w:spacing w:before="105" w:after="105" w:line="360" w:lineRule="auto"/>
      </w:pPr>
      <w:r>
        <w:rPr>
          <w:rFonts w:eastAsia="Georgia" w:hAnsi="Georgia" w:cs="Georgia"/>
          <w:b/>
          <w:color w:val="000000"/>
        </w:rPr>
        <w:t>Critique the framing of Indigenous consultation as a stakeholder mechanism</w:t>
      </w:r>
      <w:r>
        <w:rPr>
          <w:rFonts w:eastAsia="Georgia" w:hAnsi="Georgia" w:cs="Georgia"/>
          <w:color w:val="000000"/>
        </w:rPr>
        <w:t xml:space="preserve"> rather than a sovereign-nation right (Horowitz et al., 2018; Coulthard, 2014; Gilio-Whitaker, 2019). The manuscript can argue, from the literature, that public-perception findings should not be read as endorsing the stakeholderization of Indigenous rights.</w:t>
      </w:r>
    </w:p>
    <w:p w14:paraId="510AD03D" w14:textId="77777777" w:rsidR="00BA780F" w:rsidRDefault="00000000">
      <w:pPr>
        <w:numPr>
          <w:ilvl w:val="0"/>
          <w:numId w:val="84"/>
        </w:numPr>
        <w:spacing w:before="105" w:after="105" w:line="360" w:lineRule="auto"/>
      </w:pPr>
      <w:r>
        <w:rPr>
          <w:rFonts w:eastAsia="Georgia" w:hAnsi="Georgia" w:cs="Georgia"/>
          <w:b/>
          <w:color w:val="000000"/>
        </w:rPr>
        <w:t>Engage Alexander and Stanley (2022) centrally</w:t>
      </w:r>
      <w:r>
        <w:rPr>
          <w:rFonts w:eastAsia="Georgia" w:hAnsi="Georgia" w:cs="Georgia"/>
          <w:color w:val="000000"/>
        </w:rPr>
        <w:t xml:space="preserve"> as the only peer-reviewed treatment of CCS through a settler-colonial lens; they should be cited not as background but as a primary theoretical interlocutor.</w:t>
      </w:r>
    </w:p>
    <w:p w14:paraId="26E38935" w14:textId="77777777" w:rsidR="00BA780F" w:rsidRDefault="00000000">
      <w:pPr>
        <w:spacing w:before="315" w:after="105" w:line="360" w:lineRule="auto"/>
        <w:ind w:left="-30"/>
      </w:pPr>
      <w:bookmarkStart w:id="45" w:name="h2_what_this_manuscript_cannot_de_87a064"/>
      <w:r>
        <w:rPr>
          <w:rFonts w:eastAsia="Georgia" w:hAnsi="Georgia" w:cs="Georgia"/>
          <w:b/>
          <w:color w:val="000000"/>
          <w:sz w:val="24"/>
        </w:rPr>
        <w:t>H2. What this manuscript cannot defensibly do without additional work</w:t>
      </w:r>
      <w:bookmarkEnd w:id="45"/>
    </w:p>
    <w:p w14:paraId="02136FF4" w14:textId="77777777" w:rsidR="00BA780F" w:rsidRDefault="00000000">
      <w:pPr>
        <w:numPr>
          <w:ilvl w:val="0"/>
          <w:numId w:val="85"/>
        </w:numPr>
        <w:spacing w:before="105" w:after="105" w:line="360" w:lineRule="auto"/>
      </w:pPr>
      <w:r>
        <w:rPr>
          <w:rFonts w:eastAsia="Georgia" w:hAnsi="Georgia" w:cs="Georgia"/>
          <w:b/>
          <w:color w:val="000000"/>
        </w:rPr>
        <w:t>Speak about Indigenous nations' substantive views on CCS, FPIC requirements, or consent.</w:t>
      </w:r>
      <w:r>
        <w:rPr>
          <w:rFonts w:eastAsia="Georgia" w:hAnsi="Georgia" w:cs="Georgia"/>
          <w:color w:val="000000"/>
        </w:rPr>
        <w:t xml:space="preserve"> That requires Tribal-government engagement, Indigenous research methodology (Awāsis, 2020, 2023; Whyte, 2018), and ideally Indigenous co-authorship or partnership.</w:t>
      </w:r>
    </w:p>
    <w:p w14:paraId="3EBA91DF" w14:textId="77777777" w:rsidR="00BA780F" w:rsidRDefault="00000000">
      <w:pPr>
        <w:numPr>
          <w:ilvl w:val="0"/>
          <w:numId w:val="85"/>
        </w:numPr>
        <w:spacing w:before="105" w:after="105" w:line="360" w:lineRule="auto"/>
      </w:pPr>
      <w:r>
        <w:rPr>
          <w:rFonts w:eastAsia="Georgia" w:hAnsi="Georgia" w:cs="Georgia"/>
          <w:b/>
          <w:color w:val="000000"/>
        </w:rPr>
        <w:t>Treat a Tribal-consultation vignette frame as equivalent to actual Tribal consultation.</w:t>
      </w:r>
      <w:r>
        <w:rPr>
          <w:rFonts w:eastAsia="Georgia" w:hAnsi="Georgia" w:cs="Georgia"/>
          <w:color w:val="000000"/>
        </w:rPr>
        <w:t xml:space="preserve"> The manuscript must explicitly state that the frame measures public perception of the </w:t>
      </w:r>
      <w:r>
        <w:rPr>
          <w:rFonts w:eastAsia="Georgia" w:hAnsi="Georgia" w:cs="Georgia"/>
          <w:i/>
          <w:color w:val="000000"/>
        </w:rPr>
        <w:t>idea</w:t>
      </w:r>
      <w:r>
        <w:rPr>
          <w:rFonts w:eastAsia="Georgia" w:hAnsi="Georgia" w:cs="Georgia"/>
          <w:color w:val="000000"/>
        </w:rPr>
        <w:t xml:space="preserve"> of Tribal consultation, not its enactment.</w:t>
      </w:r>
    </w:p>
    <w:p w14:paraId="167AF4A1" w14:textId="77777777" w:rsidR="00BA780F" w:rsidRDefault="00000000">
      <w:pPr>
        <w:numPr>
          <w:ilvl w:val="0"/>
          <w:numId w:val="85"/>
        </w:numPr>
        <w:spacing w:before="105" w:after="105" w:line="360" w:lineRule="auto"/>
      </w:pPr>
      <w:r>
        <w:rPr>
          <w:rFonts w:eastAsia="Georgia" w:hAnsi="Georgia" w:cs="Georgia"/>
          <w:b/>
          <w:color w:val="000000"/>
        </w:rPr>
        <w:t>Sub-analyze "Indigenous respondents" within a general-population sample.</w:t>
      </w:r>
      <w:r>
        <w:rPr>
          <w:rFonts w:eastAsia="Georgia" w:hAnsi="Georgia" w:cs="Georgia"/>
          <w:color w:val="000000"/>
        </w:rPr>
        <w:t xml:space="preserve"> Small-N self-identification in survey panels is methodologically and ethically problematic; Indigenous-centered data requires distinct sampling and oversight (often Tribal IRB approval and community partnership). If you receive Indigenous respondents in your sample, report numbers transparently but do not draw inferences about Indigenous communities from them.</w:t>
      </w:r>
    </w:p>
    <w:p w14:paraId="06077C17" w14:textId="77777777" w:rsidR="00BA780F" w:rsidRDefault="00000000">
      <w:pPr>
        <w:spacing w:before="315" w:after="105" w:line="360" w:lineRule="auto"/>
        <w:ind w:left="-30"/>
      </w:pPr>
      <w:bookmarkStart w:id="46" w:name="h3_specific_framing_recommendations"/>
      <w:r>
        <w:rPr>
          <w:rFonts w:eastAsia="Georgia" w:hAnsi="Georgia" w:cs="Georgia"/>
          <w:b/>
          <w:color w:val="000000"/>
          <w:sz w:val="24"/>
        </w:rPr>
        <w:t>H3. Specific framing recommendations</w:t>
      </w:r>
      <w:bookmarkEnd w:id="46"/>
    </w:p>
    <w:p w14:paraId="6830294A" w14:textId="77777777" w:rsidR="00BA780F" w:rsidRDefault="00000000">
      <w:pPr>
        <w:numPr>
          <w:ilvl w:val="0"/>
          <w:numId w:val="86"/>
        </w:numPr>
        <w:spacing w:before="105" w:after="105" w:line="360" w:lineRule="auto"/>
      </w:pPr>
      <w:r>
        <w:rPr>
          <w:rFonts w:eastAsia="Georgia" w:hAnsi="Georgia" w:cs="Georgia"/>
          <w:b/>
          <w:color w:val="000000"/>
        </w:rPr>
        <w:t>Title and abstract:</w:t>
      </w:r>
      <w:r>
        <w:rPr>
          <w:rFonts w:eastAsia="Georgia" w:hAnsi="Georgia" w:cs="Georgia"/>
          <w:color w:val="000000"/>
        </w:rPr>
        <w:t xml:space="preserve"> It is acceptable to retain "Indigenous Rights" in the title because the manuscript engages this literature theoretically and frames Indigenous consultation as one experimental condition. Avoid phrasing that implies you measured Indigenous opinion.</w:t>
      </w:r>
    </w:p>
    <w:p w14:paraId="1AACD8CC" w14:textId="77777777" w:rsidR="00BA780F" w:rsidRDefault="00000000">
      <w:pPr>
        <w:numPr>
          <w:ilvl w:val="0"/>
          <w:numId w:val="86"/>
        </w:numPr>
        <w:spacing w:before="105" w:after="105" w:line="360" w:lineRule="auto"/>
      </w:pPr>
      <w:r>
        <w:rPr>
          <w:rFonts w:eastAsia="Georgia" w:hAnsi="Georgia" w:cs="Georgia"/>
          <w:b/>
          <w:color w:val="000000"/>
        </w:rPr>
        <w:t>Methods section:</w:t>
      </w:r>
      <w:r>
        <w:rPr>
          <w:rFonts w:eastAsia="Georgia" w:hAnsi="Georgia" w:cs="Georgia"/>
          <w:color w:val="000000"/>
        </w:rPr>
        <w:t xml:space="preserve"> Add an explicit "Scope and limitations regarding Indigenous research" subsection that states the manuscript studies governance frames as perceived by a regional public, that Indigenous sovereignty is a rights-based question that cannot be settled by public opinion, and that future work in partnership with Louisiana Tribal nations (e.g., the federally recognized Coushatta Tribe of Louisiana, Chitimacha Tribe of Louisiana, Tunica-Biloxi Tribe of Louisiana, and Jena Band of Choctaw, and state-recognized Tribes including the United Houma Nation) is needed for substantive engagement.</w:t>
      </w:r>
    </w:p>
    <w:p w14:paraId="7405C693" w14:textId="77777777" w:rsidR="00BA780F" w:rsidRDefault="00000000">
      <w:pPr>
        <w:numPr>
          <w:ilvl w:val="0"/>
          <w:numId w:val="86"/>
        </w:numPr>
        <w:spacing w:before="105" w:after="105" w:line="360" w:lineRule="auto"/>
      </w:pPr>
      <w:r>
        <w:rPr>
          <w:rFonts w:eastAsia="Georgia" w:hAnsi="Georgia" w:cs="Georgia"/>
          <w:b/>
          <w:color w:val="000000"/>
        </w:rPr>
        <w:t>Discussion:</w:t>
      </w:r>
      <w:r>
        <w:rPr>
          <w:rFonts w:eastAsia="Georgia" w:hAnsi="Georgia" w:cs="Georgia"/>
          <w:color w:val="000000"/>
        </w:rPr>
        <w:t xml:space="preserve"> Use Alexander and Stanley (2022), Whyte (2018, 2020), Coulthard (2014), and Gilio-Whitaker (2019) to interpret what public perception of Tribal-consultation framing </w:t>
      </w:r>
      <w:r>
        <w:rPr>
          <w:rFonts w:eastAsia="Georgia" w:hAnsi="Georgia" w:cs="Georgia"/>
          <w:i/>
          <w:color w:val="000000"/>
        </w:rPr>
        <w:t>cannot</w:t>
      </w:r>
      <w:r>
        <w:rPr>
          <w:rFonts w:eastAsia="Georgia" w:hAnsi="Georgia" w:cs="Georgia"/>
          <w:color w:val="000000"/>
        </w:rPr>
        <w:t xml:space="preserve"> tell us — and to argue for governance frameworks that exceed survey research.</w:t>
      </w:r>
    </w:p>
    <w:p w14:paraId="1C9FE5A6" w14:textId="77777777" w:rsidR="00BA780F" w:rsidRDefault="00000000">
      <w:pPr>
        <w:numPr>
          <w:ilvl w:val="0"/>
          <w:numId w:val="86"/>
        </w:numPr>
        <w:spacing w:before="105" w:after="105" w:line="360" w:lineRule="auto"/>
      </w:pPr>
      <w:r>
        <w:rPr>
          <w:rFonts w:eastAsia="Georgia" w:hAnsi="Georgia" w:cs="Georgia"/>
          <w:b/>
          <w:color w:val="000000"/>
        </w:rPr>
        <w:t>IRB:</w:t>
      </w:r>
      <w:r>
        <w:rPr>
          <w:rFonts w:eastAsia="Georgia" w:hAnsi="Georgia" w:cs="Georgia"/>
          <w:color w:val="000000"/>
        </w:rPr>
        <w:t xml:space="preserve"> Even without Indigenous-specific data, treat the inclusion of Indigenous-rights items as a community-sensitive design choice and document it.</w:t>
      </w:r>
    </w:p>
    <w:p w14:paraId="3D39C8AD" w14:textId="77777777" w:rsidR="00BA780F" w:rsidRDefault="00000000">
      <w:pPr>
        <w:numPr>
          <w:ilvl w:val="0"/>
          <w:numId w:val="86"/>
        </w:numPr>
        <w:spacing w:before="105" w:after="105" w:line="360" w:lineRule="auto"/>
      </w:pPr>
      <w:r>
        <w:rPr>
          <w:rFonts w:eastAsia="Georgia" w:hAnsi="Georgia" w:cs="Georgia"/>
          <w:b/>
          <w:color w:val="000000"/>
        </w:rPr>
        <w:t>Author positionality:</w:t>
      </w:r>
      <w:r>
        <w:rPr>
          <w:rFonts w:eastAsia="Georgia" w:hAnsi="Georgia" w:cs="Georgia"/>
          <w:color w:val="000000"/>
        </w:rPr>
        <w:t xml:space="preserve"> A short positionality note (your standpoint as a non-Indigenous marketing scholar) is now common practice in </w:t>
      </w:r>
      <w:r>
        <w:rPr>
          <w:rFonts w:eastAsia="Georgia" w:hAnsi="Georgia" w:cs="Georgia"/>
          <w:i/>
          <w:color w:val="000000"/>
        </w:rPr>
        <w:t>ERSS</w:t>
      </w:r>
      <w:r>
        <w:rPr>
          <w:rFonts w:eastAsia="Georgia" w:hAnsi="Georgia" w:cs="Georgia"/>
          <w:color w:val="000000"/>
        </w:rPr>
        <w:t xml:space="preserve"> qualitative work and increasingly expected in experimental work that touches Indigenous topics.</w:t>
      </w:r>
    </w:p>
    <w:p w14:paraId="6CD4779A" w14:textId="77777777" w:rsidR="00BA780F" w:rsidRDefault="00000000">
      <w:pPr>
        <w:spacing w:before="315" w:after="105" w:line="360" w:lineRule="auto"/>
        <w:ind w:left="-30"/>
      </w:pPr>
      <w:bookmarkStart w:id="47" w:name="h4_other_ethical_and_methodologic_b0a826"/>
      <w:r>
        <w:rPr>
          <w:rFonts w:eastAsia="Georgia" w:hAnsi="Georgia" w:cs="Georgia"/>
          <w:b/>
          <w:color w:val="000000"/>
          <w:sz w:val="24"/>
        </w:rPr>
        <w:t>H4. Other ethical and methodological cautions</w:t>
      </w:r>
      <w:bookmarkEnd w:id="47"/>
    </w:p>
    <w:p w14:paraId="2DFD3839" w14:textId="77777777" w:rsidR="00BA780F" w:rsidRDefault="00000000">
      <w:pPr>
        <w:numPr>
          <w:ilvl w:val="0"/>
          <w:numId w:val="87"/>
        </w:numPr>
        <w:spacing w:before="105" w:after="105" w:line="360" w:lineRule="auto"/>
      </w:pPr>
      <w:r>
        <w:rPr>
          <w:rFonts w:eastAsia="Georgia" w:hAnsi="Georgia" w:cs="Georgia"/>
          <w:b/>
          <w:color w:val="000000"/>
        </w:rPr>
        <w:t>Louisiana-as-case framing:</w:t>
      </w:r>
      <w:r>
        <w:rPr>
          <w:rFonts w:eastAsia="Georgia" w:hAnsi="Georgia" w:cs="Georgia"/>
          <w:color w:val="000000"/>
        </w:rPr>
        <w:t xml:space="preserve"> As you instructed, do not let Louisiana politics overwhelm the framing. The case selection logic should be: Louisiana is a high-density Class VI permitting jurisdiction with active CCS controversies, oil-and-gas-dependent identity, and substantial environmental-justice and Indigenous-rights stakes — making it a critical case for the broader energy-society question.</w:t>
      </w:r>
    </w:p>
    <w:p w14:paraId="66629E20" w14:textId="77777777" w:rsidR="00BA780F" w:rsidRDefault="00000000">
      <w:pPr>
        <w:numPr>
          <w:ilvl w:val="0"/>
          <w:numId w:val="87"/>
        </w:numPr>
        <w:spacing w:before="105" w:after="105" w:line="360" w:lineRule="auto"/>
      </w:pPr>
      <w:r>
        <w:rPr>
          <w:rFonts w:eastAsia="Georgia" w:hAnsi="Georgia" w:cs="Georgia"/>
          <w:b/>
          <w:color w:val="000000"/>
        </w:rPr>
        <w:t>Treatment realism:</w:t>
      </w:r>
      <w:r>
        <w:rPr>
          <w:rFonts w:eastAsia="Georgia" w:hAnsi="Georgia" w:cs="Georgia"/>
          <w:color w:val="000000"/>
        </w:rPr>
        <w:t xml:space="preserve"> Vignettes should reference </w:t>
      </w:r>
      <w:r>
        <w:rPr>
          <w:rFonts w:eastAsia="Georgia" w:hAnsi="Georgia" w:cs="Georgia"/>
          <w:i/>
          <w:color w:val="000000"/>
        </w:rPr>
        <w:t>plausible</w:t>
      </w:r>
      <w:r>
        <w:rPr>
          <w:rFonts w:eastAsia="Georgia" w:hAnsi="Georgia" w:cs="Georgia"/>
          <w:color w:val="000000"/>
        </w:rPr>
        <w:t xml:space="preserve"> CCS scenarios (e.g., a Class VI injection well permitted by the Louisiana Department of Energy and Natural Resources, with the EPA Region 6 in oversight role); avoid hypothetical scenarios that experts will find implausible.</w:t>
      </w:r>
    </w:p>
    <w:p w14:paraId="70590D09" w14:textId="77777777" w:rsidR="00BA780F" w:rsidRDefault="00000000">
      <w:pPr>
        <w:numPr>
          <w:ilvl w:val="0"/>
          <w:numId w:val="87"/>
        </w:numPr>
        <w:spacing w:before="105" w:after="105" w:line="360" w:lineRule="auto"/>
      </w:pPr>
      <w:r>
        <w:rPr>
          <w:rFonts w:eastAsia="Georgia" w:hAnsi="Georgia" w:cs="Georgia"/>
          <w:b/>
          <w:color w:val="000000"/>
        </w:rPr>
        <w:t>Risk of priming controversy:</w:t>
      </w:r>
      <w:r>
        <w:rPr>
          <w:rFonts w:eastAsia="Georgia" w:hAnsi="Georgia" w:cs="Georgia"/>
          <w:color w:val="000000"/>
        </w:rPr>
        <w:t xml:space="preserve"> Vignettes about Tribal consultation may activate respondent stereotypes; pre-test for unintended priming and consider counter-balancing item order.</w:t>
      </w:r>
    </w:p>
    <w:p w14:paraId="23560330" w14:textId="77777777" w:rsidR="00BA780F" w:rsidRDefault="00000000">
      <w:pPr>
        <w:numPr>
          <w:ilvl w:val="0"/>
          <w:numId w:val="87"/>
        </w:numPr>
        <w:spacing w:before="105" w:after="105" w:line="360" w:lineRule="auto"/>
      </w:pPr>
      <w:r>
        <w:rPr>
          <w:rFonts w:eastAsia="Georgia" w:hAnsi="Georgia" w:cs="Georgia"/>
          <w:b/>
          <w:color w:val="000000"/>
        </w:rPr>
        <w:t>Pre-registration:</w:t>
      </w:r>
      <w:r>
        <w:rPr>
          <w:rFonts w:eastAsia="Georgia" w:hAnsi="Georgia" w:cs="Georgia"/>
          <w:color w:val="000000"/>
        </w:rPr>
        <w:t xml:space="preserve"> Given the experimental design, pre-register on OSF before data collection — this is increasingly expected by </w:t>
      </w:r>
      <w:r>
        <w:rPr>
          <w:rFonts w:eastAsia="Georgia" w:hAnsi="Georgia" w:cs="Georgia"/>
          <w:i/>
          <w:color w:val="000000"/>
        </w:rPr>
        <w:t>ERSS</w:t>
      </w:r>
      <w:r>
        <w:rPr>
          <w:rFonts w:eastAsia="Georgia" w:hAnsi="Georgia" w:cs="Georgia"/>
          <w:color w:val="000000"/>
        </w:rPr>
        <w:t xml:space="preserve"> reviewers.</w:t>
      </w:r>
    </w:p>
    <w:p w14:paraId="35C51816" w14:textId="77777777" w:rsidR="00BA780F" w:rsidRDefault="00000000">
      <w:pPr>
        <w:numPr>
          <w:ilvl w:val="0"/>
          <w:numId w:val="87"/>
        </w:numPr>
        <w:spacing w:before="105" w:after="105" w:line="360" w:lineRule="auto"/>
      </w:pPr>
      <w:r>
        <w:rPr>
          <w:rFonts w:eastAsia="Georgia" w:hAnsi="Georgia" w:cs="Georgia"/>
          <w:b/>
          <w:color w:val="000000"/>
        </w:rPr>
        <w:t>Ethics of social-license framing:</w:t>
      </w:r>
      <w:r>
        <w:rPr>
          <w:rFonts w:eastAsia="Georgia" w:hAnsi="Georgia" w:cs="Georgia"/>
          <w:color w:val="000000"/>
        </w:rPr>
        <w:t xml:space="preserve"> The literature (Owen &amp; Kemp, 2013; Batel, 2018; Boutilier, 2021) cautions that researchers studying SLO may inadvertently reproduce its developer-serving framing. Position the manuscript explicitly as testing whether SLO can be redefined through procedural justice and recognition — not as measuring how much social license CCS firms currently enjoy.</w:t>
      </w:r>
    </w:p>
    <w:p w14:paraId="6539E10D" w14:textId="77777777" w:rsidR="00BA780F" w:rsidRDefault="00000000">
      <w:pPr>
        <w:spacing w:before="210" w:after="0" w:line="360" w:lineRule="auto"/>
      </w:pPr>
      <w:r>
        <w:rPr>
          <w:noProof/>
        </w:rPr>
      </w:r>
      <w:r>
        <w:rPr>
          <w:noProof/>
        </w:rPr>
        <w:pict w14:anchorId="116F6AA8">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7BA07D" w14:textId="77777777" w:rsidR="00BA780F" w:rsidRDefault="00000000">
      <w:pPr>
        <w:spacing w:before="315" w:after="105" w:line="360" w:lineRule="auto"/>
        <w:ind w:left="-30"/>
      </w:pPr>
      <w:bookmarkStart w:id="48" w:name="doi_verification_summary"/>
      <w:r>
        <w:rPr>
          <w:rFonts w:eastAsia="Georgia" w:hAnsi="Georgia" w:cs="Georgia"/>
          <w:b/>
          <w:color w:val="000000"/>
          <w:sz w:val="24"/>
        </w:rPr>
        <w:t>DOI verification summary</w:t>
      </w:r>
      <w:bookmarkEnd w:id="48"/>
    </w:p>
    <w:p w14:paraId="39C8C369" w14:textId="77777777" w:rsidR="00BA780F" w:rsidRDefault="00000000">
      <w:pPr>
        <w:spacing w:after="210" w:line="360" w:lineRule="auto"/>
      </w:pPr>
      <w:r>
        <w:rPr>
          <w:rFonts w:eastAsia="Georgia" w:hAnsi="Georgia" w:cs="Georgia"/>
          <w:color w:val="000000"/>
        </w:rPr>
        <w:t xml:space="preserve">All 58 numbered sources had their DOIs verified against </w:t>
      </w:r>
      <w:r>
        <w:rPr>
          <w:rStyle w:val="VerbatimChar"/>
          <w:rFonts w:ascii="menlo" w:eastAsia="menlo" w:hAnsi="menlo" w:cs="menlo"/>
          <w:color w:val="000000"/>
          <w:sz w:val="18"/>
          <w:shd w:val="clear" w:color="auto" w:fill="F8F8FA"/>
        </w:rPr>
        <w:t>api.crossref.org/works/[DOI]</w:t>
      </w:r>
      <w:r>
        <w:rPr>
          <w:rFonts w:eastAsia="Georgia" w:hAnsi="Georgia" w:cs="Georgia"/>
          <w:color w:val="000000"/>
        </w:rPr>
        <w:t xml:space="preserve"> during compilation, with the following exceptions: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26"/>
        <w:gridCol w:w="6578"/>
      </w:tblGrid>
      <w:tr w:rsidR="00BA780F" w14:paraId="17C9FC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FD717A" w14:textId="77777777" w:rsidR="00BA780F" w:rsidRDefault="00000000">
            <w:pPr>
              <w:spacing w:line="360" w:lineRule="auto"/>
            </w:pPr>
            <w:r>
              <w:rPr>
                <w:rFonts w:ascii="helvetica neue" w:eastAsia="helvetica neue" w:hAnsi="helvetica neue" w:cs="helvetica neue"/>
                <w:color w:val="000000"/>
                <w:sz w:val="17"/>
              </w:rPr>
              <w:t>Source</w:t>
            </w:r>
          </w:p>
        </w:tc>
        <w:tc>
          <w:tcPr>
            <w:tcW w:w="0" w:type="auto"/>
            <w:tcBorders>
              <w:top w:val="single" w:sz="1" w:space="0" w:color="000000"/>
              <w:bottom w:val="single" w:sz="1" w:space="0" w:color="000000"/>
            </w:tcBorders>
          </w:tcPr>
          <w:p w14:paraId="46F74976" w14:textId="77777777" w:rsidR="00BA780F" w:rsidRDefault="00000000">
            <w:pPr>
              <w:spacing w:line="360" w:lineRule="auto"/>
            </w:pPr>
            <w:r>
              <w:rPr>
                <w:rFonts w:ascii="helvetica neue" w:eastAsia="helvetica neue" w:hAnsi="helvetica neue" w:cs="helvetica neue"/>
                <w:color w:val="000000"/>
                <w:sz w:val="17"/>
              </w:rPr>
              <w:t>Status</w:t>
            </w:r>
          </w:p>
        </w:tc>
      </w:tr>
      <w:tr w:rsidR="00BA780F" w14:paraId="6C4298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DC08B0" w14:textId="77777777" w:rsidR="00BA780F" w:rsidRDefault="00000000">
            <w:pPr>
              <w:spacing w:line="360" w:lineRule="auto"/>
            </w:pPr>
            <w:r>
              <w:rPr>
                <w:rFonts w:eastAsia="Georgia" w:hAnsi="Georgia" w:cs="Georgia"/>
                <w:b/>
                <w:color w:val="000000"/>
                <w:sz w:val="17"/>
              </w:rPr>
              <w:t>B19. McCauley et al. (2013)</w:t>
            </w:r>
            <w:r>
              <w:rPr>
                <w:rFonts w:ascii="helvetica neue" w:eastAsia="helvetica neue" w:hAnsi="helvetica neue" w:cs="helvetica neue"/>
                <w:color w:val="000000"/>
                <w:sz w:val="17"/>
              </w:rPr>
              <w:t xml:space="preserve"> </w:t>
            </w:r>
            <w:r>
              <w:rPr>
                <w:rFonts w:eastAsia="Georgia" w:hAnsi="Georgia" w:cs="Georgia"/>
                <w:i/>
                <w:color w:val="000000"/>
                <w:sz w:val="17"/>
              </w:rPr>
              <w:t>International Energy Law Review</w:t>
            </w:r>
          </w:p>
        </w:tc>
        <w:tc>
          <w:tcPr>
            <w:tcW w:w="0" w:type="auto"/>
            <w:tcBorders>
              <w:top w:val="single" w:sz="1" w:space="0" w:color="000000"/>
              <w:bottom w:val="single" w:sz="1" w:space="0" w:color="000000"/>
            </w:tcBorders>
          </w:tcPr>
          <w:p w14:paraId="26462693" w14:textId="77777777" w:rsidR="00BA780F" w:rsidRDefault="00000000">
            <w:pPr>
              <w:spacing w:line="360" w:lineRule="auto"/>
            </w:pPr>
            <w:r>
              <w:rPr>
                <w:rFonts w:eastAsia="Georgia" w:hAnsi="Georgia" w:cs="Georgia"/>
                <w:b/>
                <w:color w:val="000000"/>
                <w:sz w:val="17"/>
              </w:rPr>
              <w:t>DOI UNCERTAIN</w:t>
            </w:r>
            <w:r>
              <w:rPr>
                <w:rFonts w:ascii="helvetica neue" w:eastAsia="helvetica neue" w:hAnsi="helvetica neue" w:cs="helvetica neue"/>
                <w:color w:val="000000"/>
                <w:sz w:val="17"/>
              </w:rPr>
              <w:t xml:space="preserve"> — journal predates standard DOI assignment; citation confirmed in Jenkins et al. (2016) reference lists. Cite by journal/volume/pages.</w:t>
            </w:r>
          </w:p>
        </w:tc>
      </w:tr>
      <w:tr w:rsidR="00BA780F" w14:paraId="03C5AA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E8761F" w14:textId="77777777" w:rsidR="00BA780F" w:rsidRDefault="00000000">
            <w:pPr>
              <w:spacing w:line="360" w:lineRule="auto"/>
            </w:pPr>
            <w:r>
              <w:rPr>
                <w:rFonts w:eastAsia="Georgia" w:hAnsi="Georgia" w:cs="Georgia"/>
                <w:b/>
                <w:color w:val="000000"/>
                <w:sz w:val="17"/>
              </w:rPr>
              <w:t>B41. Estes (2019)</w:t>
            </w:r>
            <w:r>
              <w:rPr>
                <w:rFonts w:ascii="helvetica neue" w:eastAsia="helvetica neue" w:hAnsi="helvetica neue" w:cs="helvetica neue"/>
                <w:color w:val="000000"/>
                <w:sz w:val="17"/>
              </w:rPr>
              <w:t xml:space="preserve"> </w:t>
            </w:r>
            <w:r>
              <w:rPr>
                <w:rFonts w:eastAsia="Georgia" w:hAnsi="Georgia" w:cs="Georgia"/>
                <w:i/>
                <w:color w:val="000000"/>
                <w:sz w:val="17"/>
              </w:rPr>
              <w:t>Our History Is the Future</w:t>
            </w:r>
            <w:r>
              <w:rPr>
                <w:rFonts w:ascii="helvetica neue" w:eastAsia="helvetica neue" w:hAnsi="helvetica neue" w:cs="helvetica neue"/>
                <w:color w:val="000000"/>
                <w:sz w:val="17"/>
              </w:rPr>
              <w:t xml:space="preserve"> (Verso)</w:t>
            </w:r>
          </w:p>
        </w:tc>
        <w:tc>
          <w:tcPr>
            <w:tcW w:w="0" w:type="auto"/>
            <w:tcBorders>
              <w:top w:val="single" w:sz="1" w:space="0" w:color="000000"/>
              <w:bottom w:val="single" w:sz="1" w:space="0" w:color="000000"/>
            </w:tcBorders>
          </w:tcPr>
          <w:p w14:paraId="5E08698A" w14:textId="77777777" w:rsidR="00BA780F" w:rsidRDefault="00000000">
            <w:pPr>
              <w:spacing w:line="360" w:lineRule="auto"/>
            </w:pPr>
            <w:r>
              <w:rPr>
                <w:rFonts w:ascii="helvetica neue" w:eastAsia="helvetica neue" w:hAnsi="helvetica neue" w:cs="helvetica neue"/>
                <w:color w:val="000000"/>
                <w:sz w:val="17"/>
              </w:rPr>
              <w:t xml:space="preserve">No DOI (book). </w:t>
            </w:r>
            <w:r>
              <w:rPr>
                <w:rFonts w:eastAsia="Georgia" w:hAnsi="Georgia" w:cs="Georgia"/>
                <w:b/>
                <w:color w:val="000000"/>
                <w:sz w:val="17"/>
              </w:rPr>
              <w:t>ISBN 9781786636737</w:t>
            </w:r>
            <w:r>
              <w:rPr>
                <w:rFonts w:ascii="helvetica neue" w:eastAsia="helvetica neue" w:hAnsi="helvetica neue" w:cs="helvetica neue"/>
                <w:color w:val="000000"/>
                <w:sz w:val="17"/>
              </w:rPr>
              <w:t xml:space="preserve"> confirmed.</w:t>
            </w:r>
          </w:p>
        </w:tc>
      </w:tr>
      <w:tr w:rsidR="00BA780F" w14:paraId="2F296E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308223" w14:textId="77777777" w:rsidR="00BA780F" w:rsidRDefault="00000000">
            <w:pPr>
              <w:spacing w:line="360" w:lineRule="auto"/>
            </w:pPr>
            <w:r>
              <w:rPr>
                <w:rFonts w:eastAsia="Georgia" w:hAnsi="Georgia" w:cs="Georgia"/>
                <w:b/>
                <w:color w:val="000000"/>
                <w:sz w:val="17"/>
              </w:rPr>
              <w:t>B42. Gilio-Whitaker (2019)</w:t>
            </w:r>
            <w:r>
              <w:rPr>
                <w:rFonts w:ascii="helvetica neue" w:eastAsia="helvetica neue" w:hAnsi="helvetica neue" w:cs="helvetica neue"/>
                <w:color w:val="000000"/>
                <w:sz w:val="17"/>
              </w:rPr>
              <w:t xml:space="preserve"> </w:t>
            </w:r>
            <w:r>
              <w:rPr>
                <w:rFonts w:eastAsia="Georgia" w:hAnsi="Georgia" w:cs="Georgia"/>
                <w:i/>
                <w:color w:val="000000"/>
                <w:sz w:val="17"/>
              </w:rPr>
              <w:t>As Long as Grass Grows</w:t>
            </w:r>
            <w:r>
              <w:rPr>
                <w:rFonts w:ascii="helvetica neue" w:eastAsia="helvetica neue" w:hAnsi="helvetica neue" w:cs="helvetica neue"/>
                <w:color w:val="000000"/>
                <w:sz w:val="17"/>
              </w:rPr>
              <w:t xml:space="preserve"> (Beacon Press)</w:t>
            </w:r>
          </w:p>
        </w:tc>
        <w:tc>
          <w:tcPr>
            <w:tcW w:w="0" w:type="auto"/>
            <w:tcBorders>
              <w:top w:val="single" w:sz="1" w:space="0" w:color="000000"/>
              <w:bottom w:val="single" w:sz="1" w:space="0" w:color="000000"/>
            </w:tcBorders>
          </w:tcPr>
          <w:p w14:paraId="4CFD5EC4" w14:textId="77777777" w:rsidR="00BA780F" w:rsidRDefault="00000000">
            <w:pPr>
              <w:spacing w:line="360" w:lineRule="auto"/>
            </w:pPr>
            <w:r>
              <w:rPr>
                <w:rFonts w:ascii="helvetica neue" w:eastAsia="helvetica neue" w:hAnsi="helvetica neue" w:cs="helvetica neue"/>
                <w:color w:val="000000"/>
                <w:sz w:val="17"/>
              </w:rPr>
              <w:t xml:space="preserve">No DOI (book). </w:t>
            </w:r>
            <w:r>
              <w:rPr>
                <w:rFonts w:eastAsia="Georgia" w:hAnsi="Georgia" w:cs="Georgia"/>
                <w:b/>
                <w:color w:val="000000"/>
                <w:sz w:val="17"/>
              </w:rPr>
              <w:t>ISBN 9780807073780</w:t>
            </w:r>
            <w:r>
              <w:rPr>
                <w:rFonts w:ascii="helvetica neue" w:eastAsia="helvetica neue" w:hAnsi="helvetica neue" w:cs="helvetica neue"/>
                <w:color w:val="000000"/>
                <w:sz w:val="17"/>
              </w:rPr>
              <w:t xml:space="preserve"> confirmed.</w:t>
            </w:r>
          </w:p>
        </w:tc>
      </w:tr>
      <w:tr w:rsidR="00BA780F" w14:paraId="0884F7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74A08B" w14:textId="77777777" w:rsidR="00BA780F" w:rsidRDefault="00000000">
            <w:pPr>
              <w:spacing w:line="360" w:lineRule="auto"/>
            </w:pPr>
            <w:r>
              <w:rPr>
                <w:rFonts w:eastAsia="Georgia" w:hAnsi="Georgia" w:cs="Georgia"/>
                <w:b/>
                <w:color w:val="000000"/>
                <w:sz w:val="17"/>
              </w:rPr>
              <w:t>B27. Schlosberg (2007)</w:t>
            </w:r>
            <w:r>
              <w:rPr>
                <w:rFonts w:ascii="helvetica neue" w:eastAsia="helvetica neue" w:hAnsi="helvetica neue" w:cs="helvetica neue"/>
                <w:color w:val="000000"/>
                <w:sz w:val="17"/>
              </w:rPr>
              <w:t xml:space="preserve"> </w:t>
            </w:r>
            <w:r>
              <w:rPr>
                <w:rFonts w:eastAsia="Georgia" w:hAnsi="Georgia" w:cs="Georgia"/>
                <w:i/>
                <w:color w:val="000000"/>
                <w:sz w:val="17"/>
              </w:rPr>
              <w:t>Defining Environmental Justice</w:t>
            </w:r>
            <w:r>
              <w:rPr>
                <w:rFonts w:ascii="helvetica neue" w:eastAsia="helvetica neue" w:hAnsi="helvetica neue" w:cs="helvetica neue"/>
                <w:color w:val="000000"/>
                <w:sz w:val="17"/>
              </w:rPr>
              <w:t xml:space="preserve"> (OUP)</w:t>
            </w:r>
          </w:p>
        </w:tc>
        <w:tc>
          <w:tcPr>
            <w:tcW w:w="0" w:type="auto"/>
            <w:tcBorders>
              <w:top w:val="single" w:sz="1" w:space="0" w:color="000000"/>
              <w:bottom w:val="single" w:sz="1" w:space="0" w:color="000000"/>
            </w:tcBorders>
          </w:tcPr>
          <w:p w14:paraId="0C3FD96E" w14:textId="77777777" w:rsidR="00BA780F" w:rsidRDefault="00000000">
            <w:pPr>
              <w:spacing w:line="360" w:lineRule="auto"/>
            </w:pPr>
            <w:r>
              <w:rPr>
                <w:rFonts w:ascii="helvetica neue" w:eastAsia="helvetica neue" w:hAnsi="helvetica neue" w:cs="helvetica neue"/>
                <w:color w:val="000000"/>
                <w:sz w:val="17"/>
              </w:rPr>
              <w:t>Book-level DOI (</w:t>
            </w:r>
            <w:hyperlink r:id="rId148">
              <w:r>
                <w:rPr>
                  <w:rFonts w:ascii="helvetica neue" w:eastAsia="helvetica neue" w:hAnsi="helvetica neue" w:cs="helvetica neue"/>
                  <w:sz w:val="17"/>
                  <w:u w:val="single"/>
                </w:rPr>
                <w:t>10.1093/acprof:oso/9780199286294.001.0001</w:t>
              </w:r>
            </w:hyperlink>
            <w:r>
              <w:rPr>
                <w:rFonts w:ascii="helvetica neue" w:eastAsia="helvetica neue" w:hAnsi="helvetica neue" w:cs="helvetica neue"/>
                <w:color w:val="000000"/>
                <w:sz w:val="17"/>
              </w:rPr>
              <w:t>) confirmed; individual chapter DOIs also exist.</w:t>
            </w:r>
          </w:p>
        </w:tc>
      </w:tr>
      <w:tr w:rsidR="00BA780F" w14:paraId="272CDF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224436" w14:textId="77777777" w:rsidR="00BA780F" w:rsidRDefault="00000000">
            <w:pPr>
              <w:spacing w:line="360" w:lineRule="auto"/>
            </w:pPr>
            <w:r>
              <w:rPr>
                <w:rFonts w:eastAsia="Georgia" w:hAnsi="Georgia" w:cs="Georgia"/>
                <w:b/>
                <w:color w:val="000000"/>
                <w:sz w:val="17"/>
              </w:rPr>
              <w:t>B40. Coulthard (2014)</w:t>
            </w:r>
            <w:r>
              <w:rPr>
                <w:rFonts w:ascii="helvetica neue" w:eastAsia="helvetica neue" w:hAnsi="helvetica neue" w:cs="helvetica neue"/>
                <w:color w:val="000000"/>
                <w:sz w:val="17"/>
              </w:rPr>
              <w:t xml:space="preserve"> </w:t>
            </w:r>
            <w:r>
              <w:rPr>
                <w:rFonts w:eastAsia="Georgia" w:hAnsi="Georgia" w:cs="Georgia"/>
                <w:i/>
                <w:color w:val="000000"/>
                <w:sz w:val="17"/>
              </w:rPr>
              <w:t>Red Skin, White Masks</w:t>
            </w:r>
            <w:r>
              <w:rPr>
                <w:rFonts w:ascii="helvetica neue" w:eastAsia="helvetica neue" w:hAnsi="helvetica neue" w:cs="helvetica neue"/>
                <w:color w:val="000000"/>
                <w:sz w:val="17"/>
              </w:rPr>
              <w:t xml:space="preserve"> (U Minnesota Press)</w:t>
            </w:r>
          </w:p>
        </w:tc>
        <w:tc>
          <w:tcPr>
            <w:tcW w:w="0" w:type="auto"/>
            <w:tcBorders>
              <w:top w:val="single" w:sz="1" w:space="0" w:color="000000"/>
              <w:bottom w:val="single" w:sz="1" w:space="0" w:color="000000"/>
            </w:tcBorders>
          </w:tcPr>
          <w:p w14:paraId="6D9FD149" w14:textId="77777777" w:rsidR="00BA780F" w:rsidRDefault="00000000">
            <w:pPr>
              <w:spacing w:line="360" w:lineRule="auto"/>
            </w:pPr>
            <w:r>
              <w:rPr>
                <w:rFonts w:ascii="helvetica neue" w:eastAsia="helvetica neue" w:hAnsi="helvetica neue" w:cs="helvetica neue"/>
                <w:color w:val="000000"/>
                <w:sz w:val="17"/>
              </w:rPr>
              <w:t>Book-level DOI (</w:t>
            </w:r>
            <w:hyperlink r:id="rId149">
              <w:r>
                <w:rPr>
                  <w:rFonts w:ascii="helvetica neue" w:eastAsia="helvetica neue" w:hAnsi="helvetica neue" w:cs="helvetica neue"/>
                  <w:sz w:val="17"/>
                  <w:u w:val="single"/>
                </w:rPr>
                <w:t>10.5749/minnesota/9780816679645.001.0001</w:t>
              </w:r>
            </w:hyperlink>
            <w:r>
              <w:rPr>
                <w:rFonts w:ascii="helvetica neue" w:eastAsia="helvetica neue" w:hAnsi="helvetica neue" w:cs="helvetica neue"/>
                <w:color w:val="000000"/>
                <w:sz w:val="17"/>
              </w:rPr>
              <w:t>) confirmed.</w:t>
            </w:r>
          </w:p>
        </w:tc>
      </w:tr>
    </w:tbl>
    <w:p w14:paraId="7F87D0D9" w14:textId="77777777" w:rsidR="00BA780F" w:rsidRDefault="00BA780F"/>
    <w:p w14:paraId="18640561" w14:textId="77777777" w:rsidR="00BA780F" w:rsidRDefault="00000000">
      <w:pPr>
        <w:spacing w:after="210" w:line="360" w:lineRule="auto"/>
      </w:pPr>
      <w:r>
        <w:rPr>
          <w:rFonts w:eastAsia="Georgia" w:hAnsi="Georgia" w:cs="Georgia"/>
          <w:color w:val="000000"/>
        </w:rPr>
        <w:t>All other DOIs are Crossref-verified.</w:t>
      </w:r>
    </w:p>
    <w:p w14:paraId="502F071F" w14:textId="77777777" w:rsidR="00BA780F" w:rsidRDefault="00000000">
      <w:pPr>
        <w:spacing w:before="210" w:after="0" w:line="360" w:lineRule="auto"/>
      </w:pPr>
      <w:r>
        <w:rPr>
          <w:noProof/>
        </w:rPr>
      </w:r>
      <w:r>
        <w:rPr>
          <w:noProof/>
        </w:rPr>
        <w:pict w14:anchorId="224E7F54">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310289" w14:textId="77777777" w:rsidR="00BA780F" w:rsidRDefault="00000000">
      <w:pPr>
        <w:spacing w:before="315" w:after="105" w:line="360" w:lineRule="auto"/>
        <w:ind w:left="-30"/>
      </w:pPr>
      <w:bookmarkStart w:id="49" w:name="suggested_next_steps"/>
      <w:r>
        <w:rPr>
          <w:rFonts w:eastAsia="Georgia" w:hAnsi="Georgia" w:cs="Georgia"/>
          <w:b/>
          <w:color w:val="000000"/>
          <w:sz w:val="24"/>
        </w:rPr>
        <w:t>Suggested next steps</w:t>
      </w:r>
      <w:bookmarkEnd w:id="49"/>
    </w:p>
    <w:p w14:paraId="6E3B062D" w14:textId="77777777" w:rsidR="00BA780F" w:rsidRDefault="00000000">
      <w:pPr>
        <w:numPr>
          <w:ilvl w:val="0"/>
          <w:numId w:val="88"/>
        </w:numPr>
        <w:spacing w:before="105" w:after="105" w:line="360" w:lineRule="auto"/>
      </w:pPr>
      <w:r>
        <w:rPr>
          <w:rFonts w:eastAsia="Georgia" w:hAnsi="Georgia" w:cs="Georgia"/>
          <w:b/>
          <w:color w:val="000000"/>
        </w:rPr>
        <w:t>Pull full texts</w:t>
      </w:r>
      <w:r>
        <w:rPr>
          <w:rFonts w:eastAsia="Georgia" w:hAnsi="Georgia" w:cs="Georgia"/>
          <w:color w:val="000000"/>
        </w:rPr>
        <w:t xml:space="preserve"> of B47 (Alexander &amp; Stanley, 2022), B9 (Stephanides et al., 2025), B49 (Anders et al., 2024), B10 (San Román-Niaves et al., 2026), B36 (Minadakis &amp; Vega-Araújo, 2024), and B37 (Ó Maonaigh et al., 2025) — these six are the most contemporary anchors and warrant first reading.</w:t>
      </w:r>
    </w:p>
    <w:p w14:paraId="6968E654" w14:textId="77777777" w:rsidR="00BA780F" w:rsidRDefault="00000000">
      <w:pPr>
        <w:numPr>
          <w:ilvl w:val="0"/>
          <w:numId w:val="88"/>
        </w:numPr>
        <w:spacing w:before="105" w:after="105" w:line="360" w:lineRule="auto"/>
      </w:pPr>
      <w:r>
        <w:rPr>
          <w:rFonts w:eastAsia="Georgia" w:hAnsi="Georgia" w:cs="Georgia"/>
          <w:b/>
          <w:color w:val="000000"/>
        </w:rPr>
        <w:t>Decide whether to position the manuscript as social license + energy justice</w:t>
      </w:r>
      <w:r>
        <w:rPr>
          <w:rFonts w:eastAsia="Georgia" w:hAnsi="Georgia" w:cs="Georgia"/>
          <w:color w:val="000000"/>
        </w:rPr>
        <w:t xml:space="preserve"> (recommended) or </w:t>
      </w:r>
      <w:r>
        <w:rPr>
          <w:rFonts w:eastAsia="Georgia" w:hAnsi="Georgia" w:cs="Georgia"/>
          <w:b/>
          <w:color w:val="000000"/>
        </w:rPr>
        <w:t>as procedural justice + Indigenous rights</w:t>
      </w:r>
      <w:r>
        <w:rPr>
          <w:rFonts w:eastAsia="Georgia" w:hAnsi="Georgia" w:cs="Georgia"/>
          <w:color w:val="000000"/>
        </w:rPr>
        <w:t xml:space="preserve"> (narrower; harder to defend the Indigenous-rights claim without Indigenous data).</w:t>
      </w:r>
    </w:p>
    <w:p w14:paraId="785919A0" w14:textId="77777777" w:rsidR="00BA780F" w:rsidRDefault="00000000">
      <w:pPr>
        <w:numPr>
          <w:ilvl w:val="0"/>
          <w:numId w:val="88"/>
        </w:numPr>
        <w:spacing w:before="105" w:after="105" w:line="360" w:lineRule="auto"/>
      </w:pPr>
      <w:r>
        <w:rPr>
          <w:rFonts w:eastAsia="Georgia" w:hAnsi="Georgia" w:cs="Georgia"/>
          <w:b/>
          <w:color w:val="000000"/>
        </w:rPr>
        <w:t>Pre-register the experimental design</w:t>
      </w:r>
      <w:r>
        <w:rPr>
          <w:rFonts w:eastAsia="Georgia" w:hAnsi="Georgia" w:cs="Georgia"/>
          <w:color w:val="000000"/>
        </w:rPr>
        <w:t xml:space="preserve"> before data collection, citing this lit review foundation as the theoretical basis.</w:t>
      </w:r>
    </w:p>
    <w:p w14:paraId="0D390BA9" w14:textId="77777777" w:rsidR="00BA780F" w:rsidRDefault="00000000">
      <w:pPr>
        <w:numPr>
          <w:ilvl w:val="0"/>
          <w:numId w:val="88"/>
        </w:numPr>
        <w:spacing w:before="105" w:after="105" w:line="360" w:lineRule="auto"/>
      </w:pPr>
      <w:r>
        <w:rPr>
          <w:rFonts w:eastAsia="Georgia" w:hAnsi="Georgia" w:cs="Georgia"/>
          <w:b/>
          <w:color w:val="000000"/>
        </w:rPr>
        <w:t>Reach out to Louisiana Tribal contacts</w:t>
      </w:r>
      <w:r>
        <w:rPr>
          <w:rFonts w:eastAsia="Georgia" w:hAnsi="Georgia" w:cs="Georgia"/>
          <w:color w:val="000000"/>
        </w:rPr>
        <w:t xml:space="preserve"> (formal Tribal liaison offices, not individual Tribal members) if the manuscript will substantively claim implications for Indigenous communities — even a courtesy notice is good scholarly practice.</w:t>
      </w:r>
    </w:p>
    <w:p w14:paraId="608101AC" w14:textId="77777777" w:rsidR="00BA780F" w:rsidRDefault="00000000">
      <w:pPr>
        <w:spacing w:before="210" w:after="0" w:line="360" w:lineRule="auto"/>
      </w:pPr>
      <w:r>
        <w:rPr>
          <w:noProof/>
        </w:rPr>
      </w:r>
      <w:r>
        <w:rPr>
          <w:noProof/>
        </w:rPr>
        <w:pict w14:anchorId="5949962F">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2A14ED" w14:textId="77777777" w:rsidR="00BA780F" w:rsidRDefault="00000000">
      <w:pPr>
        <w:spacing w:after="210" w:line="360" w:lineRule="auto"/>
      </w:pPr>
      <w:r>
        <w:rPr>
          <w:rFonts w:eastAsia="Georgia" w:hAnsi="Georgia" w:cs="Georgia"/>
          <w:i/>
          <w:color w:val="000000"/>
        </w:rPr>
        <w:t xml:space="preserve">Document compiled from six independent literature streams totaling 58 verified peer-reviewed sources. All DOIs verified via Crossref REST API May 2026. Supporting per-stream files available in workspace: </w:t>
      </w:r>
      <w:r>
        <w:rPr>
          <w:rStyle w:val="VerbatimChar"/>
          <w:rFonts w:ascii="Georgia" w:eastAsia="Georgia" w:hAnsi="Georgia" w:cs="Georgia"/>
          <w:i/>
          <w:color w:val="000000"/>
          <w:shd w:val="clear" w:color="auto" w:fill="F8F8FA"/>
        </w:rPr>
        <w:t>lit_ccs_acceptance.md, lit_infrastructure_siting.md, lit_energy_justice.md, lit_social_license.md, lit_indigenous_rights.md, lit_governance_framing.md.</w:t>
      </w:r>
    </w:p>
    <w:sectPr w:rsidR="00BA780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EC6"/>
    <w:multiLevelType w:val="hybridMultilevel"/>
    <w:tmpl w:val="6220D3E4"/>
    <w:lvl w:ilvl="0" w:tplc="47C48664">
      <w:start w:val="1"/>
      <w:numFmt w:val="bullet"/>
      <w:lvlText w:val=""/>
      <w:lvlJc w:val="left"/>
      <w:pPr>
        <w:tabs>
          <w:tab w:val="num" w:pos="900"/>
        </w:tabs>
        <w:ind w:left="540" w:hanging="360"/>
      </w:pPr>
      <w:rPr>
        <w:rFonts w:ascii="Symbol" w:hAnsi="Symbol" w:hint="default"/>
      </w:rPr>
    </w:lvl>
    <w:lvl w:ilvl="1" w:tplc="1BC22EAC">
      <w:numFmt w:val="decimal"/>
      <w:lvlText w:val=""/>
      <w:lvlJc w:val="left"/>
    </w:lvl>
    <w:lvl w:ilvl="2" w:tplc="ECE0E416">
      <w:numFmt w:val="decimal"/>
      <w:lvlText w:val=""/>
      <w:lvlJc w:val="left"/>
    </w:lvl>
    <w:lvl w:ilvl="3" w:tplc="C28625E4">
      <w:numFmt w:val="decimal"/>
      <w:lvlText w:val=""/>
      <w:lvlJc w:val="left"/>
    </w:lvl>
    <w:lvl w:ilvl="4" w:tplc="FF283580">
      <w:numFmt w:val="decimal"/>
      <w:lvlText w:val=""/>
      <w:lvlJc w:val="left"/>
    </w:lvl>
    <w:lvl w:ilvl="5" w:tplc="F92A61BA">
      <w:numFmt w:val="decimal"/>
      <w:lvlText w:val=""/>
      <w:lvlJc w:val="left"/>
    </w:lvl>
    <w:lvl w:ilvl="6" w:tplc="9BACAAE8">
      <w:numFmt w:val="decimal"/>
      <w:lvlText w:val=""/>
      <w:lvlJc w:val="left"/>
    </w:lvl>
    <w:lvl w:ilvl="7" w:tplc="1DAE0680">
      <w:numFmt w:val="decimal"/>
      <w:lvlText w:val=""/>
      <w:lvlJc w:val="left"/>
    </w:lvl>
    <w:lvl w:ilvl="8" w:tplc="9D94E700">
      <w:numFmt w:val="decimal"/>
      <w:lvlText w:val=""/>
      <w:lvlJc w:val="left"/>
    </w:lvl>
  </w:abstractNum>
  <w:abstractNum w:abstractNumId="1" w15:restartNumberingAfterBreak="0">
    <w:nsid w:val="00183C27"/>
    <w:multiLevelType w:val="hybridMultilevel"/>
    <w:tmpl w:val="AF4EB516"/>
    <w:lvl w:ilvl="0" w:tplc="975E736A">
      <w:start w:val="1"/>
      <w:numFmt w:val="bullet"/>
      <w:lvlText w:val=""/>
      <w:lvlJc w:val="left"/>
      <w:pPr>
        <w:tabs>
          <w:tab w:val="num" w:pos="900"/>
        </w:tabs>
        <w:ind w:left="540" w:hanging="360"/>
      </w:pPr>
      <w:rPr>
        <w:rFonts w:ascii="Symbol" w:hAnsi="Symbol" w:hint="default"/>
      </w:rPr>
    </w:lvl>
    <w:lvl w:ilvl="1" w:tplc="03226C00">
      <w:numFmt w:val="decimal"/>
      <w:lvlText w:val=""/>
      <w:lvlJc w:val="left"/>
    </w:lvl>
    <w:lvl w:ilvl="2" w:tplc="BE08D07C">
      <w:numFmt w:val="decimal"/>
      <w:lvlText w:val=""/>
      <w:lvlJc w:val="left"/>
    </w:lvl>
    <w:lvl w:ilvl="3" w:tplc="9F866A4E">
      <w:numFmt w:val="decimal"/>
      <w:lvlText w:val=""/>
      <w:lvlJc w:val="left"/>
    </w:lvl>
    <w:lvl w:ilvl="4" w:tplc="BE647900">
      <w:numFmt w:val="decimal"/>
      <w:lvlText w:val=""/>
      <w:lvlJc w:val="left"/>
    </w:lvl>
    <w:lvl w:ilvl="5" w:tplc="7890CD5A">
      <w:numFmt w:val="decimal"/>
      <w:lvlText w:val=""/>
      <w:lvlJc w:val="left"/>
    </w:lvl>
    <w:lvl w:ilvl="6" w:tplc="75B8A23E">
      <w:numFmt w:val="decimal"/>
      <w:lvlText w:val=""/>
      <w:lvlJc w:val="left"/>
    </w:lvl>
    <w:lvl w:ilvl="7" w:tplc="A80427F0">
      <w:numFmt w:val="decimal"/>
      <w:lvlText w:val=""/>
      <w:lvlJc w:val="left"/>
    </w:lvl>
    <w:lvl w:ilvl="8" w:tplc="85EE7A14">
      <w:numFmt w:val="decimal"/>
      <w:lvlText w:val=""/>
      <w:lvlJc w:val="left"/>
    </w:lvl>
  </w:abstractNum>
  <w:abstractNum w:abstractNumId="2" w15:restartNumberingAfterBreak="0">
    <w:nsid w:val="00D405E3"/>
    <w:multiLevelType w:val="hybridMultilevel"/>
    <w:tmpl w:val="FB6E621E"/>
    <w:lvl w:ilvl="0" w:tplc="9B0EDCFA">
      <w:start w:val="1"/>
      <w:numFmt w:val="bullet"/>
      <w:lvlText w:val=""/>
      <w:lvlJc w:val="left"/>
      <w:pPr>
        <w:tabs>
          <w:tab w:val="num" w:pos="900"/>
        </w:tabs>
        <w:ind w:left="540" w:hanging="360"/>
      </w:pPr>
      <w:rPr>
        <w:rFonts w:ascii="Symbol" w:hAnsi="Symbol" w:hint="default"/>
      </w:rPr>
    </w:lvl>
    <w:lvl w:ilvl="1" w:tplc="DCE2573E">
      <w:numFmt w:val="decimal"/>
      <w:lvlText w:val=""/>
      <w:lvlJc w:val="left"/>
    </w:lvl>
    <w:lvl w:ilvl="2" w:tplc="795C2982">
      <w:numFmt w:val="decimal"/>
      <w:lvlText w:val=""/>
      <w:lvlJc w:val="left"/>
    </w:lvl>
    <w:lvl w:ilvl="3" w:tplc="DD9ADAB6">
      <w:numFmt w:val="decimal"/>
      <w:lvlText w:val=""/>
      <w:lvlJc w:val="left"/>
    </w:lvl>
    <w:lvl w:ilvl="4" w:tplc="20F00EAA">
      <w:numFmt w:val="decimal"/>
      <w:lvlText w:val=""/>
      <w:lvlJc w:val="left"/>
    </w:lvl>
    <w:lvl w:ilvl="5" w:tplc="CF9E7780">
      <w:numFmt w:val="decimal"/>
      <w:lvlText w:val=""/>
      <w:lvlJc w:val="left"/>
    </w:lvl>
    <w:lvl w:ilvl="6" w:tplc="0262ADBA">
      <w:numFmt w:val="decimal"/>
      <w:lvlText w:val=""/>
      <w:lvlJc w:val="left"/>
    </w:lvl>
    <w:lvl w:ilvl="7" w:tplc="49C6AC36">
      <w:numFmt w:val="decimal"/>
      <w:lvlText w:val=""/>
      <w:lvlJc w:val="left"/>
    </w:lvl>
    <w:lvl w:ilvl="8" w:tplc="34BC77A4">
      <w:numFmt w:val="decimal"/>
      <w:lvlText w:val=""/>
      <w:lvlJc w:val="left"/>
    </w:lvl>
  </w:abstractNum>
  <w:abstractNum w:abstractNumId="3" w15:restartNumberingAfterBreak="0">
    <w:nsid w:val="026924D2"/>
    <w:multiLevelType w:val="hybridMultilevel"/>
    <w:tmpl w:val="984C22BE"/>
    <w:lvl w:ilvl="0" w:tplc="52143E86">
      <w:start w:val="1"/>
      <w:numFmt w:val="bullet"/>
      <w:lvlText w:val=""/>
      <w:lvlJc w:val="left"/>
      <w:pPr>
        <w:tabs>
          <w:tab w:val="num" w:pos="900"/>
        </w:tabs>
        <w:ind w:left="540" w:hanging="360"/>
      </w:pPr>
      <w:rPr>
        <w:rFonts w:ascii="Symbol" w:hAnsi="Symbol" w:hint="default"/>
      </w:rPr>
    </w:lvl>
    <w:lvl w:ilvl="1" w:tplc="11D21AF4">
      <w:numFmt w:val="decimal"/>
      <w:lvlText w:val=""/>
      <w:lvlJc w:val="left"/>
    </w:lvl>
    <w:lvl w:ilvl="2" w:tplc="8722CE8E">
      <w:numFmt w:val="decimal"/>
      <w:lvlText w:val=""/>
      <w:lvlJc w:val="left"/>
    </w:lvl>
    <w:lvl w:ilvl="3" w:tplc="943EAB8E">
      <w:numFmt w:val="decimal"/>
      <w:lvlText w:val=""/>
      <w:lvlJc w:val="left"/>
    </w:lvl>
    <w:lvl w:ilvl="4" w:tplc="1B1EB646">
      <w:numFmt w:val="decimal"/>
      <w:lvlText w:val=""/>
      <w:lvlJc w:val="left"/>
    </w:lvl>
    <w:lvl w:ilvl="5" w:tplc="53ECE316">
      <w:numFmt w:val="decimal"/>
      <w:lvlText w:val=""/>
      <w:lvlJc w:val="left"/>
    </w:lvl>
    <w:lvl w:ilvl="6" w:tplc="737E246C">
      <w:numFmt w:val="decimal"/>
      <w:lvlText w:val=""/>
      <w:lvlJc w:val="left"/>
    </w:lvl>
    <w:lvl w:ilvl="7" w:tplc="967CA11E">
      <w:numFmt w:val="decimal"/>
      <w:lvlText w:val=""/>
      <w:lvlJc w:val="left"/>
    </w:lvl>
    <w:lvl w:ilvl="8" w:tplc="AA783C3C">
      <w:numFmt w:val="decimal"/>
      <w:lvlText w:val=""/>
      <w:lvlJc w:val="left"/>
    </w:lvl>
  </w:abstractNum>
  <w:abstractNum w:abstractNumId="4" w15:restartNumberingAfterBreak="0">
    <w:nsid w:val="04141552"/>
    <w:multiLevelType w:val="hybridMultilevel"/>
    <w:tmpl w:val="603A1D94"/>
    <w:lvl w:ilvl="0" w:tplc="FC0872B4">
      <w:start w:val="1"/>
      <w:numFmt w:val="bullet"/>
      <w:lvlText w:val=""/>
      <w:lvlJc w:val="left"/>
      <w:pPr>
        <w:tabs>
          <w:tab w:val="num" w:pos="900"/>
        </w:tabs>
        <w:ind w:left="540" w:hanging="360"/>
      </w:pPr>
      <w:rPr>
        <w:rFonts w:ascii="Symbol" w:hAnsi="Symbol" w:hint="default"/>
      </w:rPr>
    </w:lvl>
    <w:lvl w:ilvl="1" w:tplc="C9B016FA">
      <w:numFmt w:val="decimal"/>
      <w:lvlText w:val=""/>
      <w:lvlJc w:val="left"/>
    </w:lvl>
    <w:lvl w:ilvl="2" w:tplc="DD86FFEE">
      <w:numFmt w:val="decimal"/>
      <w:lvlText w:val=""/>
      <w:lvlJc w:val="left"/>
    </w:lvl>
    <w:lvl w:ilvl="3" w:tplc="DC6A7A6E">
      <w:numFmt w:val="decimal"/>
      <w:lvlText w:val=""/>
      <w:lvlJc w:val="left"/>
    </w:lvl>
    <w:lvl w:ilvl="4" w:tplc="617EB6C2">
      <w:numFmt w:val="decimal"/>
      <w:lvlText w:val=""/>
      <w:lvlJc w:val="left"/>
    </w:lvl>
    <w:lvl w:ilvl="5" w:tplc="C5281B2A">
      <w:numFmt w:val="decimal"/>
      <w:lvlText w:val=""/>
      <w:lvlJc w:val="left"/>
    </w:lvl>
    <w:lvl w:ilvl="6" w:tplc="79BEE61C">
      <w:numFmt w:val="decimal"/>
      <w:lvlText w:val=""/>
      <w:lvlJc w:val="left"/>
    </w:lvl>
    <w:lvl w:ilvl="7" w:tplc="456252E6">
      <w:numFmt w:val="decimal"/>
      <w:lvlText w:val=""/>
      <w:lvlJc w:val="left"/>
    </w:lvl>
    <w:lvl w:ilvl="8" w:tplc="9350FB94">
      <w:numFmt w:val="decimal"/>
      <w:lvlText w:val=""/>
      <w:lvlJc w:val="left"/>
    </w:lvl>
  </w:abstractNum>
  <w:abstractNum w:abstractNumId="5" w15:restartNumberingAfterBreak="0">
    <w:nsid w:val="09385712"/>
    <w:multiLevelType w:val="hybridMultilevel"/>
    <w:tmpl w:val="2FFADC6E"/>
    <w:lvl w:ilvl="0" w:tplc="23E0D09C">
      <w:start w:val="1"/>
      <w:numFmt w:val="bullet"/>
      <w:lvlText w:val=""/>
      <w:lvlJc w:val="left"/>
      <w:pPr>
        <w:tabs>
          <w:tab w:val="num" w:pos="900"/>
        </w:tabs>
        <w:ind w:left="540" w:hanging="360"/>
      </w:pPr>
      <w:rPr>
        <w:rFonts w:ascii="Symbol" w:hAnsi="Symbol" w:hint="default"/>
      </w:rPr>
    </w:lvl>
    <w:lvl w:ilvl="1" w:tplc="A6B4F7F0">
      <w:numFmt w:val="decimal"/>
      <w:lvlText w:val=""/>
      <w:lvlJc w:val="left"/>
    </w:lvl>
    <w:lvl w:ilvl="2" w:tplc="5FF80194">
      <w:numFmt w:val="decimal"/>
      <w:lvlText w:val=""/>
      <w:lvlJc w:val="left"/>
    </w:lvl>
    <w:lvl w:ilvl="3" w:tplc="C35EA2A6">
      <w:numFmt w:val="decimal"/>
      <w:lvlText w:val=""/>
      <w:lvlJc w:val="left"/>
    </w:lvl>
    <w:lvl w:ilvl="4" w:tplc="6794EF2C">
      <w:numFmt w:val="decimal"/>
      <w:lvlText w:val=""/>
      <w:lvlJc w:val="left"/>
    </w:lvl>
    <w:lvl w:ilvl="5" w:tplc="05168C72">
      <w:numFmt w:val="decimal"/>
      <w:lvlText w:val=""/>
      <w:lvlJc w:val="left"/>
    </w:lvl>
    <w:lvl w:ilvl="6" w:tplc="7A965F9C">
      <w:numFmt w:val="decimal"/>
      <w:lvlText w:val=""/>
      <w:lvlJc w:val="left"/>
    </w:lvl>
    <w:lvl w:ilvl="7" w:tplc="518CED32">
      <w:numFmt w:val="decimal"/>
      <w:lvlText w:val=""/>
      <w:lvlJc w:val="left"/>
    </w:lvl>
    <w:lvl w:ilvl="8" w:tplc="3C7CF28A">
      <w:numFmt w:val="decimal"/>
      <w:lvlText w:val=""/>
      <w:lvlJc w:val="left"/>
    </w:lvl>
  </w:abstractNum>
  <w:abstractNum w:abstractNumId="6" w15:restartNumberingAfterBreak="0">
    <w:nsid w:val="0B2E148B"/>
    <w:multiLevelType w:val="hybridMultilevel"/>
    <w:tmpl w:val="B628C0AA"/>
    <w:lvl w:ilvl="0" w:tplc="DE52A910">
      <w:start w:val="1"/>
      <w:numFmt w:val="bullet"/>
      <w:lvlText w:val=""/>
      <w:lvlJc w:val="left"/>
      <w:pPr>
        <w:tabs>
          <w:tab w:val="num" w:pos="900"/>
        </w:tabs>
        <w:ind w:left="540" w:hanging="360"/>
      </w:pPr>
      <w:rPr>
        <w:rFonts w:ascii="Symbol" w:hAnsi="Symbol" w:hint="default"/>
      </w:rPr>
    </w:lvl>
    <w:lvl w:ilvl="1" w:tplc="48F8C418">
      <w:numFmt w:val="decimal"/>
      <w:lvlText w:val=""/>
      <w:lvlJc w:val="left"/>
    </w:lvl>
    <w:lvl w:ilvl="2" w:tplc="5BDA2C0E">
      <w:numFmt w:val="decimal"/>
      <w:lvlText w:val=""/>
      <w:lvlJc w:val="left"/>
    </w:lvl>
    <w:lvl w:ilvl="3" w:tplc="64300B1C">
      <w:numFmt w:val="decimal"/>
      <w:lvlText w:val=""/>
      <w:lvlJc w:val="left"/>
    </w:lvl>
    <w:lvl w:ilvl="4" w:tplc="AB6239E4">
      <w:numFmt w:val="decimal"/>
      <w:lvlText w:val=""/>
      <w:lvlJc w:val="left"/>
    </w:lvl>
    <w:lvl w:ilvl="5" w:tplc="71287064">
      <w:numFmt w:val="decimal"/>
      <w:lvlText w:val=""/>
      <w:lvlJc w:val="left"/>
    </w:lvl>
    <w:lvl w:ilvl="6" w:tplc="24B0C9E6">
      <w:numFmt w:val="decimal"/>
      <w:lvlText w:val=""/>
      <w:lvlJc w:val="left"/>
    </w:lvl>
    <w:lvl w:ilvl="7" w:tplc="1100B052">
      <w:numFmt w:val="decimal"/>
      <w:lvlText w:val=""/>
      <w:lvlJc w:val="left"/>
    </w:lvl>
    <w:lvl w:ilvl="8" w:tplc="BD1678D8">
      <w:numFmt w:val="decimal"/>
      <w:lvlText w:val=""/>
      <w:lvlJc w:val="left"/>
    </w:lvl>
  </w:abstractNum>
  <w:abstractNum w:abstractNumId="7" w15:restartNumberingAfterBreak="0">
    <w:nsid w:val="0B6F60BB"/>
    <w:multiLevelType w:val="hybridMultilevel"/>
    <w:tmpl w:val="6D4A27FA"/>
    <w:lvl w:ilvl="0" w:tplc="EB883E90">
      <w:start w:val="1"/>
      <w:numFmt w:val="bullet"/>
      <w:lvlText w:val=""/>
      <w:lvlJc w:val="left"/>
      <w:pPr>
        <w:tabs>
          <w:tab w:val="num" w:pos="900"/>
        </w:tabs>
        <w:ind w:left="540" w:hanging="360"/>
      </w:pPr>
      <w:rPr>
        <w:rFonts w:ascii="Symbol" w:hAnsi="Symbol" w:hint="default"/>
      </w:rPr>
    </w:lvl>
    <w:lvl w:ilvl="1" w:tplc="7FE01F76">
      <w:numFmt w:val="decimal"/>
      <w:lvlText w:val=""/>
      <w:lvlJc w:val="left"/>
    </w:lvl>
    <w:lvl w:ilvl="2" w:tplc="4E4663BC">
      <w:numFmt w:val="decimal"/>
      <w:lvlText w:val=""/>
      <w:lvlJc w:val="left"/>
    </w:lvl>
    <w:lvl w:ilvl="3" w:tplc="BB7C0238">
      <w:numFmt w:val="decimal"/>
      <w:lvlText w:val=""/>
      <w:lvlJc w:val="left"/>
    </w:lvl>
    <w:lvl w:ilvl="4" w:tplc="5DAE49CC">
      <w:numFmt w:val="decimal"/>
      <w:lvlText w:val=""/>
      <w:lvlJc w:val="left"/>
    </w:lvl>
    <w:lvl w:ilvl="5" w:tplc="9904C8F4">
      <w:numFmt w:val="decimal"/>
      <w:lvlText w:val=""/>
      <w:lvlJc w:val="left"/>
    </w:lvl>
    <w:lvl w:ilvl="6" w:tplc="AEBC12BE">
      <w:numFmt w:val="decimal"/>
      <w:lvlText w:val=""/>
      <w:lvlJc w:val="left"/>
    </w:lvl>
    <w:lvl w:ilvl="7" w:tplc="7AF2090C">
      <w:numFmt w:val="decimal"/>
      <w:lvlText w:val=""/>
      <w:lvlJc w:val="left"/>
    </w:lvl>
    <w:lvl w:ilvl="8" w:tplc="4F7807C6">
      <w:numFmt w:val="decimal"/>
      <w:lvlText w:val=""/>
      <w:lvlJc w:val="left"/>
    </w:lvl>
  </w:abstractNum>
  <w:abstractNum w:abstractNumId="8" w15:restartNumberingAfterBreak="0">
    <w:nsid w:val="0BB14950"/>
    <w:multiLevelType w:val="hybridMultilevel"/>
    <w:tmpl w:val="92CC2EEC"/>
    <w:lvl w:ilvl="0" w:tplc="69EE35DA">
      <w:start w:val="1"/>
      <w:numFmt w:val="bullet"/>
      <w:lvlText w:val=""/>
      <w:lvlJc w:val="left"/>
      <w:pPr>
        <w:tabs>
          <w:tab w:val="num" w:pos="900"/>
        </w:tabs>
        <w:ind w:left="540" w:hanging="360"/>
      </w:pPr>
      <w:rPr>
        <w:rFonts w:ascii="Symbol" w:hAnsi="Symbol" w:hint="default"/>
      </w:rPr>
    </w:lvl>
    <w:lvl w:ilvl="1" w:tplc="400C6454">
      <w:numFmt w:val="decimal"/>
      <w:lvlText w:val=""/>
      <w:lvlJc w:val="left"/>
    </w:lvl>
    <w:lvl w:ilvl="2" w:tplc="81563944">
      <w:numFmt w:val="decimal"/>
      <w:lvlText w:val=""/>
      <w:lvlJc w:val="left"/>
    </w:lvl>
    <w:lvl w:ilvl="3" w:tplc="6B3A2BD8">
      <w:numFmt w:val="decimal"/>
      <w:lvlText w:val=""/>
      <w:lvlJc w:val="left"/>
    </w:lvl>
    <w:lvl w:ilvl="4" w:tplc="4EFA5108">
      <w:numFmt w:val="decimal"/>
      <w:lvlText w:val=""/>
      <w:lvlJc w:val="left"/>
    </w:lvl>
    <w:lvl w:ilvl="5" w:tplc="3AD2F788">
      <w:numFmt w:val="decimal"/>
      <w:lvlText w:val=""/>
      <w:lvlJc w:val="left"/>
    </w:lvl>
    <w:lvl w:ilvl="6" w:tplc="A91ADDBE">
      <w:numFmt w:val="decimal"/>
      <w:lvlText w:val=""/>
      <w:lvlJc w:val="left"/>
    </w:lvl>
    <w:lvl w:ilvl="7" w:tplc="5E80E3B8">
      <w:numFmt w:val="decimal"/>
      <w:lvlText w:val=""/>
      <w:lvlJc w:val="left"/>
    </w:lvl>
    <w:lvl w:ilvl="8" w:tplc="8FC2A61E">
      <w:numFmt w:val="decimal"/>
      <w:lvlText w:val=""/>
      <w:lvlJc w:val="left"/>
    </w:lvl>
  </w:abstractNum>
  <w:abstractNum w:abstractNumId="9" w15:restartNumberingAfterBreak="0">
    <w:nsid w:val="0E005189"/>
    <w:multiLevelType w:val="hybridMultilevel"/>
    <w:tmpl w:val="6D189742"/>
    <w:lvl w:ilvl="0" w:tplc="5720EC66">
      <w:start w:val="1"/>
      <w:numFmt w:val="bullet"/>
      <w:lvlText w:val=""/>
      <w:lvlJc w:val="left"/>
      <w:pPr>
        <w:tabs>
          <w:tab w:val="num" w:pos="900"/>
        </w:tabs>
        <w:ind w:left="540" w:hanging="360"/>
      </w:pPr>
      <w:rPr>
        <w:rFonts w:ascii="Symbol" w:hAnsi="Symbol" w:hint="default"/>
      </w:rPr>
    </w:lvl>
    <w:lvl w:ilvl="1" w:tplc="B450D576">
      <w:numFmt w:val="decimal"/>
      <w:lvlText w:val=""/>
      <w:lvlJc w:val="left"/>
    </w:lvl>
    <w:lvl w:ilvl="2" w:tplc="A40CC914">
      <w:numFmt w:val="decimal"/>
      <w:lvlText w:val=""/>
      <w:lvlJc w:val="left"/>
    </w:lvl>
    <w:lvl w:ilvl="3" w:tplc="80723038">
      <w:numFmt w:val="decimal"/>
      <w:lvlText w:val=""/>
      <w:lvlJc w:val="left"/>
    </w:lvl>
    <w:lvl w:ilvl="4" w:tplc="47644368">
      <w:numFmt w:val="decimal"/>
      <w:lvlText w:val=""/>
      <w:lvlJc w:val="left"/>
    </w:lvl>
    <w:lvl w:ilvl="5" w:tplc="69C88F6E">
      <w:numFmt w:val="decimal"/>
      <w:lvlText w:val=""/>
      <w:lvlJc w:val="left"/>
    </w:lvl>
    <w:lvl w:ilvl="6" w:tplc="F0DA5E72">
      <w:numFmt w:val="decimal"/>
      <w:lvlText w:val=""/>
      <w:lvlJc w:val="left"/>
    </w:lvl>
    <w:lvl w:ilvl="7" w:tplc="B464DBDA">
      <w:numFmt w:val="decimal"/>
      <w:lvlText w:val=""/>
      <w:lvlJc w:val="left"/>
    </w:lvl>
    <w:lvl w:ilvl="8" w:tplc="BF68697A">
      <w:numFmt w:val="decimal"/>
      <w:lvlText w:val=""/>
      <w:lvlJc w:val="left"/>
    </w:lvl>
  </w:abstractNum>
  <w:abstractNum w:abstractNumId="10" w15:restartNumberingAfterBreak="0">
    <w:nsid w:val="0EF21124"/>
    <w:multiLevelType w:val="hybridMultilevel"/>
    <w:tmpl w:val="7B784B0E"/>
    <w:lvl w:ilvl="0" w:tplc="EF2882DA">
      <w:start w:val="1"/>
      <w:numFmt w:val="bullet"/>
      <w:lvlText w:val=""/>
      <w:lvlJc w:val="left"/>
      <w:pPr>
        <w:tabs>
          <w:tab w:val="num" w:pos="900"/>
        </w:tabs>
        <w:ind w:left="540" w:hanging="360"/>
      </w:pPr>
      <w:rPr>
        <w:rFonts w:ascii="Symbol" w:hAnsi="Symbol" w:hint="default"/>
      </w:rPr>
    </w:lvl>
    <w:lvl w:ilvl="1" w:tplc="57AE094A">
      <w:numFmt w:val="decimal"/>
      <w:lvlText w:val=""/>
      <w:lvlJc w:val="left"/>
    </w:lvl>
    <w:lvl w:ilvl="2" w:tplc="96D4EBA6">
      <w:numFmt w:val="decimal"/>
      <w:lvlText w:val=""/>
      <w:lvlJc w:val="left"/>
    </w:lvl>
    <w:lvl w:ilvl="3" w:tplc="CF1AB850">
      <w:numFmt w:val="decimal"/>
      <w:lvlText w:val=""/>
      <w:lvlJc w:val="left"/>
    </w:lvl>
    <w:lvl w:ilvl="4" w:tplc="5E24F888">
      <w:numFmt w:val="decimal"/>
      <w:lvlText w:val=""/>
      <w:lvlJc w:val="left"/>
    </w:lvl>
    <w:lvl w:ilvl="5" w:tplc="31A6F73A">
      <w:numFmt w:val="decimal"/>
      <w:lvlText w:val=""/>
      <w:lvlJc w:val="left"/>
    </w:lvl>
    <w:lvl w:ilvl="6" w:tplc="0E7E46E2">
      <w:numFmt w:val="decimal"/>
      <w:lvlText w:val=""/>
      <w:lvlJc w:val="left"/>
    </w:lvl>
    <w:lvl w:ilvl="7" w:tplc="BBCCFCBA">
      <w:numFmt w:val="decimal"/>
      <w:lvlText w:val=""/>
      <w:lvlJc w:val="left"/>
    </w:lvl>
    <w:lvl w:ilvl="8" w:tplc="F8DC925E">
      <w:numFmt w:val="decimal"/>
      <w:lvlText w:val=""/>
      <w:lvlJc w:val="left"/>
    </w:lvl>
  </w:abstractNum>
  <w:abstractNum w:abstractNumId="11" w15:restartNumberingAfterBreak="0">
    <w:nsid w:val="0F4C13B6"/>
    <w:multiLevelType w:val="hybridMultilevel"/>
    <w:tmpl w:val="A44EAD40"/>
    <w:lvl w:ilvl="0" w:tplc="15A4B64C">
      <w:start w:val="1"/>
      <w:numFmt w:val="decimal"/>
      <w:lvlText w:val="%1."/>
      <w:lvlJc w:val="left"/>
      <w:pPr>
        <w:tabs>
          <w:tab w:val="num" w:pos="900"/>
        </w:tabs>
        <w:ind w:left="540" w:hanging="360"/>
      </w:pPr>
    </w:lvl>
    <w:lvl w:ilvl="1" w:tplc="29841476">
      <w:numFmt w:val="decimal"/>
      <w:lvlText w:val=""/>
      <w:lvlJc w:val="left"/>
    </w:lvl>
    <w:lvl w:ilvl="2" w:tplc="79B8FF4C">
      <w:numFmt w:val="decimal"/>
      <w:lvlText w:val=""/>
      <w:lvlJc w:val="left"/>
    </w:lvl>
    <w:lvl w:ilvl="3" w:tplc="9368697C">
      <w:numFmt w:val="decimal"/>
      <w:lvlText w:val=""/>
      <w:lvlJc w:val="left"/>
    </w:lvl>
    <w:lvl w:ilvl="4" w:tplc="21401922">
      <w:numFmt w:val="decimal"/>
      <w:lvlText w:val=""/>
      <w:lvlJc w:val="left"/>
    </w:lvl>
    <w:lvl w:ilvl="5" w:tplc="B6B004DE">
      <w:numFmt w:val="decimal"/>
      <w:lvlText w:val=""/>
      <w:lvlJc w:val="left"/>
    </w:lvl>
    <w:lvl w:ilvl="6" w:tplc="34FAD4D8">
      <w:numFmt w:val="decimal"/>
      <w:lvlText w:val=""/>
      <w:lvlJc w:val="left"/>
    </w:lvl>
    <w:lvl w:ilvl="7" w:tplc="1DE66888">
      <w:numFmt w:val="decimal"/>
      <w:lvlText w:val=""/>
      <w:lvlJc w:val="left"/>
    </w:lvl>
    <w:lvl w:ilvl="8" w:tplc="91BC7742">
      <w:numFmt w:val="decimal"/>
      <w:lvlText w:val=""/>
      <w:lvlJc w:val="left"/>
    </w:lvl>
  </w:abstractNum>
  <w:abstractNum w:abstractNumId="12" w15:restartNumberingAfterBreak="0">
    <w:nsid w:val="0FCD70D0"/>
    <w:multiLevelType w:val="hybridMultilevel"/>
    <w:tmpl w:val="6A8A8FEE"/>
    <w:lvl w:ilvl="0" w:tplc="30687FF2">
      <w:start w:val="1"/>
      <w:numFmt w:val="bullet"/>
      <w:lvlText w:val=""/>
      <w:lvlJc w:val="left"/>
      <w:pPr>
        <w:tabs>
          <w:tab w:val="num" w:pos="900"/>
        </w:tabs>
        <w:ind w:left="540" w:hanging="360"/>
      </w:pPr>
      <w:rPr>
        <w:rFonts w:ascii="Symbol" w:hAnsi="Symbol" w:hint="default"/>
      </w:rPr>
    </w:lvl>
    <w:lvl w:ilvl="1" w:tplc="E8106E42">
      <w:numFmt w:val="decimal"/>
      <w:lvlText w:val=""/>
      <w:lvlJc w:val="left"/>
    </w:lvl>
    <w:lvl w:ilvl="2" w:tplc="5A165C3A">
      <w:numFmt w:val="decimal"/>
      <w:lvlText w:val=""/>
      <w:lvlJc w:val="left"/>
    </w:lvl>
    <w:lvl w:ilvl="3" w:tplc="BB38F964">
      <w:numFmt w:val="decimal"/>
      <w:lvlText w:val=""/>
      <w:lvlJc w:val="left"/>
    </w:lvl>
    <w:lvl w:ilvl="4" w:tplc="F72028C0">
      <w:numFmt w:val="decimal"/>
      <w:lvlText w:val=""/>
      <w:lvlJc w:val="left"/>
    </w:lvl>
    <w:lvl w:ilvl="5" w:tplc="C1985E5C">
      <w:numFmt w:val="decimal"/>
      <w:lvlText w:val=""/>
      <w:lvlJc w:val="left"/>
    </w:lvl>
    <w:lvl w:ilvl="6" w:tplc="75665FE0">
      <w:numFmt w:val="decimal"/>
      <w:lvlText w:val=""/>
      <w:lvlJc w:val="left"/>
    </w:lvl>
    <w:lvl w:ilvl="7" w:tplc="A16E5FF0">
      <w:numFmt w:val="decimal"/>
      <w:lvlText w:val=""/>
      <w:lvlJc w:val="left"/>
    </w:lvl>
    <w:lvl w:ilvl="8" w:tplc="0B3C4EEC">
      <w:numFmt w:val="decimal"/>
      <w:lvlText w:val=""/>
      <w:lvlJc w:val="left"/>
    </w:lvl>
  </w:abstractNum>
  <w:abstractNum w:abstractNumId="13" w15:restartNumberingAfterBreak="0">
    <w:nsid w:val="0FD924F1"/>
    <w:multiLevelType w:val="hybridMultilevel"/>
    <w:tmpl w:val="E00CE826"/>
    <w:lvl w:ilvl="0" w:tplc="C20A707A">
      <w:start w:val="1"/>
      <w:numFmt w:val="bullet"/>
      <w:lvlText w:val=""/>
      <w:lvlJc w:val="left"/>
      <w:pPr>
        <w:tabs>
          <w:tab w:val="num" w:pos="900"/>
        </w:tabs>
        <w:ind w:left="540" w:hanging="360"/>
      </w:pPr>
      <w:rPr>
        <w:rFonts w:ascii="Symbol" w:hAnsi="Symbol" w:hint="default"/>
      </w:rPr>
    </w:lvl>
    <w:lvl w:ilvl="1" w:tplc="6162673A">
      <w:numFmt w:val="decimal"/>
      <w:lvlText w:val=""/>
      <w:lvlJc w:val="left"/>
    </w:lvl>
    <w:lvl w:ilvl="2" w:tplc="8DEC1E72">
      <w:numFmt w:val="decimal"/>
      <w:lvlText w:val=""/>
      <w:lvlJc w:val="left"/>
    </w:lvl>
    <w:lvl w:ilvl="3" w:tplc="57167E90">
      <w:numFmt w:val="decimal"/>
      <w:lvlText w:val=""/>
      <w:lvlJc w:val="left"/>
    </w:lvl>
    <w:lvl w:ilvl="4" w:tplc="DBE0C1B2">
      <w:numFmt w:val="decimal"/>
      <w:lvlText w:val=""/>
      <w:lvlJc w:val="left"/>
    </w:lvl>
    <w:lvl w:ilvl="5" w:tplc="6E02DE5A">
      <w:numFmt w:val="decimal"/>
      <w:lvlText w:val=""/>
      <w:lvlJc w:val="left"/>
    </w:lvl>
    <w:lvl w:ilvl="6" w:tplc="AA0ADF60">
      <w:numFmt w:val="decimal"/>
      <w:lvlText w:val=""/>
      <w:lvlJc w:val="left"/>
    </w:lvl>
    <w:lvl w:ilvl="7" w:tplc="1B0CE0D6">
      <w:numFmt w:val="decimal"/>
      <w:lvlText w:val=""/>
      <w:lvlJc w:val="left"/>
    </w:lvl>
    <w:lvl w:ilvl="8" w:tplc="FA981B76">
      <w:numFmt w:val="decimal"/>
      <w:lvlText w:val=""/>
      <w:lvlJc w:val="left"/>
    </w:lvl>
  </w:abstractNum>
  <w:abstractNum w:abstractNumId="14" w15:restartNumberingAfterBreak="0">
    <w:nsid w:val="13B83A45"/>
    <w:multiLevelType w:val="hybridMultilevel"/>
    <w:tmpl w:val="55C28CFA"/>
    <w:lvl w:ilvl="0" w:tplc="BEA42174">
      <w:start w:val="1"/>
      <w:numFmt w:val="bullet"/>
      <w:lvlText w:val=""/>
      <w:lvlJc w:val="left"/>
      <w:pPr>
        <w:tabs>
          <w:tab w:val="num" w:pos="900"/>
        </w:tabs>
        <w:ind w:left="540" w:hanging="360"/>
      </w:pPr>
      <w:rPr>
        <w:rFonts w:ascii="Symbol" w:hAnsi="Symbol" w:hint="default"/>
      </w:rPr>
    </w:lvl>
    <w:lvl w:ilvl="1" w:tplc="DE76E8C4">
      <w:numFmt w:val="decimal"/>
      <w:lvlText w:val=""/>
      <w:lvlJc w:val="left"/>
    </w:lvl>
    <w:lvl w:ilvl="2" w:tplc="44D89412">
      <w:numFmt w:val="decimal"/>
      <w:lvlText w:val=""/>
      <w:lvlJc w:val="left"/>
    </w:lvl>
    <w:lvl w:ilvl="3" w:tplc="E9EA495E">
      <w:numFmt w:val="decimal"/>
      <w:lvlText w:val=""/>
      <w:lvlJc w:val="left"/>
    </w:lvl>
    <w:lvl w:ilvl="4" w:tplc="2A22E940">
      <w:numFmt w:val="decimal"/>
      <w:lvlText w:val=""/>
      <w:lvlJc w:val="left"/>
    </w:lvl>
    <w:lvl w:ilvl="5" w:tplc="CFACB3F8">
      <w:numFmt w:val="decimal"/>
      <w:lvlText w:val=""/>
      <w:lvlJc w:val="left"/>
    </w:lvl>
    <w:lvl w:ilvl="6" w:tplc="E38C0D98">
      <w:numFmt w:val="decimal"/>
      <w:lvlText w:val=""/>
      <w:lvlJc w:val="left"/>
    </w:lvl>
    <w:lvl w:ilvl="7" w:tplc="F2786B3E">
      <w:numFmt w:val="decimal"/>
      <w:lvlText w:val=""/>
      <w:lvlJc w:val="left"/>
    </w:lvl>
    <w:lvl w:ilvl="8" w:tplc="B6BA7C18">
      <w:numFmt w:val="decimal"/>
      <w:lvlText w:val=""/>
      <w:lvlJc w:val="left"/>
    </w:lvl>
  </w:abstractNum>
  <w:abstractNum w:abstractNumId="15" w15:restartNumberingAfterBreak="0">
    <w:nsid w:val="147D29C3"/>
    <w:multiLevelType w:val="hybridMultilevel"/>
    <w:tmpl w:val="D708EC72"/>
    <w:lvl w:ilvl="0" w:tplc="8CEE09C8">
      <w:start w:val="1"/>
      <w:numFmt w:val="bullet"/>
      <w:lvlText w:val=""/>
      <w:lvlJc w:val="left"/>
      <w:pPr>
        <w:tabs>
          <w:tab w:val="num" w:pos="900"/>
        </w:tabs>
        <w:ind w:left="540" w:hanging="360"/>
      </w:pPr>
      <w:rPr>
        <w:rFonts w:ascii="Symbol" w:hAnsi="Symbol" w:hint="default"/>
      </w:rPr>
    </w:lvl>
    <w:lvl w:ilvl="1" w:tplc="77E64B00">
      <w:numFmt w:val="decimal"/>
      <w:lvlText w:val=""/>
      <w:lvlJc w:val="left"/>
    </w:lvl>
    <w:lvl w:ilvl="2" w:tplc="AE7C3A24">
      <w:numFmt w:val="decimal"/>
      <w:lvlText w:val=""/>
      <w:lvlJc w:val="left"/>
    </w:lvl>
    <w:lvl w:ilvl="3" w:tplc="E842BA24">
      <w:numFmt w:val="decimal"/>
      <w:lvlText w:val=""/>
      <w:lvlJc w:val="left"/>
    </w:lvl>
    <w:lvl w:ilvl="4" w:tplc="8F645DC8">
      <w:numFmt w:val="decimal"/>
      <w:lvlText w:val=""/>
      <w:lvlJc w:val="left"/>
    </w:lvl>
    <w:lvl w:ilvl="5" w:tplc="4CC22F1A">
      <w:numFmt w:val="decimal"/>
      <w:lvlText w:val=""/>
      <w:lvlJc w:val="left"/>
    </w:lvl>
    <w:lvl w:ilvl="6" w:tplc="837E0002">
      <w:numFmt w:val="decimal"/>
      <w:lvlText w:val=""/>
      <w:lvlJc w:val="left"/>
    </w:lvl>
    <w:lvl w:ilvl="7" w:tplc="BF7A3A92">
      <w:numFmt w:val="decimal"/>
      <w:lvlText w:val=""/>
      <w:lvlJc w:val="left"/>
    </w:lvl>
    <w:lvl w:ilvl="8" w:tplc="85A237BA">
      <w:numFmt w:val="decimal"/>
      <w:lvlText w:val=""/>
      <w:lvlJc w:val="left"/>
    </w:lvl>
  </w:abstractNum>
  <w:abstractNum w:abstractNumId="16" w15:restartNumberingAfterBreak="0">
    <w:nsid w:val="14B225C4"/>
    <w:multiLevelType w:val="hybridMultilevel"/>
    <w:tmpl w:val="FDC0537E"/>
    <w:lvl w:ilvl="0" w:tplc="87B6B1BC">
      <w:start w:val="1"/>
      <w:numFmt w:val="bullet"/>
      <w:lvlText w:val=""/>
      <w:lvlJc w:val="left"/>
      <w:pPr>
        <w:tabs>
          <w:tab w:val="num" w:pos="900"/>
        </w:tabs>
        <w:ind w:left="540" w:hanging="360"/>
      </w:pPr>
      <w:rPr>
        <w:rFonts w:ascii="Symbol" w:hAnsi="Symbol" w:hint="default"/>
      </w:rPr>
    </w:lvl>
    <w:lvl w:ilvl="1" w:tplc="0B9EF944">
      <w:numFmt w:val="decimal"/>
      <w:lvlText w:val=""/>
      <w:lvlJc w:val="left"/>
    </w:lvl>
    <w:lvl w:ilvl="2" w:tplc="3804436A">
      <w:numFmt w:val="decimal"/>
      <w:lvlText w:val=""/>
      <w:lvlJc w:val="left"/>
    </w:lvl>
    <w:lvl w:ilvl="3" w:tplc="9ADA0C20">
      <w:numFmt w:val="decimal"/>
      <w:lvlText w:val=""/>
      <w:lvlJc w:val="left"/>
    </w:lvl>
    <w:lvl w:ilvl="4" w:tplc="89DC6490">
      <w:numFmt w:val="decimal"/>
      <w:lvlText w:val=""/>
      <w:lvlJc w:val="left"/>
    </w:lvl>
    <w:lvl w:ilvl="5" w:tplc="81145F58">
      <w:numFmt w:val="decimal"/>
      <w:lvlText w:val=""/>
      <w:lvlJc w:val="left"/>
    </w:lvl>
    <w:lvl w:ilvl="6" w:tplc="08A05EE4">
      <w:numFmt w:val="decimal"/>
      <w:lvlText w:val=""/>
      <w:lvlJc w:val="left"/>
    </w:lvl>
    <w:lvl w:ilvl="7" w:tplc="B532BDB6">
      <w:numFmt w:val="decimal"/>
      <w:lvlText w:val=""/>
      <w:lvlJc w:val="left"/>
    </w:lvl>
    <w:lvl w:ilvl="8" w:tplc="862CCAE2">
      <w:numFmt w:val="decimal"/>
      <w:lvlText w:val=""/>
      <w:lvlJc w:val="left"/>
    </w:lvl>
  </w:abstractNum>
  <w:abstractNum w:abstractNumId="17" w15:restartNumberingAfterBreak="0">
    <w:nsid w:val="160C0C54"/>
    <w:multiLevelType w:val="hybridMultilevel"/>
    <w:tmpl w:val="635641FE"/>
    <w:lvl w:ilvl="0" w:tplc="41244F72">
      <w:start w:val="1"/>
      <w:numFmt w:val="bullet"/>
      <w:lvlText w:val=""/>
      <w:lvlJc w:val="left"/>
      <w:pPr>
        <w:tabs>
          <w:tab w:val="num" w:pos="900"/>
        </w:tabs>
        <w:ind w:left="540" w:hanging="360"/>
      </w:pPr>
      <w:rPr>
        <w:rFonts w:ascii="Symbol" w:hAnsi="Symbol" w:hint="default"/>
      </w:rPr>
    </w:lvl>
    <w:lvl w:ilvl="1" w:tplc="3D52CA54">
      <w:numFmt w:val="decimal"/>
      <w:lvlText w:val=""/>
      <w:lvlJc w:val="left"/>
    </w:lvl>
    <w:lvl w:ilvl="2" w:tplc="9E907070">
      <w:numFmt w:val="decimal"/>
      <w:lvlText w:val=""/>
      <w:lvlJc w:val="left"/>
    </w:lvl>
    <w:lvl w:ilvl="3" w:tplc="FC525F48">
      <w:numFmt w:val="decimal"/>
      <w:lvlText w:val=""/>
      <w:lvlJc w:val="left"/>
    </w:lvl>
    <w:lvl w:ilvl="4" w:tplc="E99EFE5C">
      <w:numFmt w:val="decimal"/>
      <w:lvlText w:val=""/>
      <w:lvlJc w:val="left"/>
    </w:lvl>
    <w:lvl w:ilvl="5" w:tplc="DCB6D924">
      <w:numFmt w:val="decimal"/>
      <w:lvlText w:val=""/>
      <w:lvlJc w:val="left"/>
    </w:lvl>
    <w:lvl w:ilvl="6" w:tplc="C5723568">
      <w:numFmt w:val="decimal"/>
      <w:lvlText w:val=""/>
      <w:lvlJc w:val="left"/>
    </w:lvl>
    <w:lvl w:ilvl="7" w:tplc="3AF434EE">
      <w:numFmt w:val="decimal"/>
      <w:lvlText w:val=""/>
      <w:lvlJc w:val="left"/>
    </w:lvl>
    <w:lvl w:ilvl="8" w:tplc="0EF2D87E">
      <w:numFmt w:val="decimal"/>
      <w:lvlText w:val=""/>
      <w:lvlJc w:val="left"/>
    </w:lvl>
  </w:abstractNum>
  <w:abstractNum w:abstractNumId="18" w15:restartNumberingAfterBreak="0">
    <w:nsid w:val="19DA6976"/>
    <w:multiLevelType w:val="hybridMultilevel"/>
    <w:tmpl w:val="3352607A"/>
    <w:lvl w:ilvl="0" w:tplc="BED47A62">
      <w:start w:val="1"/>
      <w:numFmt w:val="bullet"/>
      <w:lvlText w:val=""/>
      <w:lvlJc w:val="left"/>
      <w:pPr>
        <w:tabs>
          <w:tab w:val="num" w:pos="900"/>
        </w:tabs>
        <w:ind w:left="540" w:hanging="360"/>
      </w:pPr>
      <w:rPr>
        <w:rFonts w:ascii="Symbol" w:hAnsi="Symbol" w:hint="default"/>
      </w:rPr>
    </w:lvl>
    <w:lvl w:ilvl="1" w:tplc="9F7854EA">
      <w:numFmt w:val="decimal"/>
      <w:lvlText w:val=""/>
      <w:lvlJc w:val="left"/>
    </w:lvl>
    <w:lvl w:ilvl="2" w:tplc="06D69EF4">
      <w:numFmt w:val="decimal"/>
      <w:lvlText w:val=""/>
      <w:lvlJc w:val="left"/>
    </w:lvl>
    <w:lvl w:ilvl="3" w:tplc="8918CB48">
      <w:numFmt w:val="decimal"/>
      <w:lvlText w:val=""/>
      <w:lvlJc w:val="left"/>
    </w:lvl>
    <w:lvl w:ilvl="4" w:tplc="025A8A8A">
      <w:numFmt w:val="decimal"/>
      <w:lvlText w:val=""/>
      <w:lvlJc w:val="left"/>
    </w:lvl>
    <w:lvl w:ilvl="5" w:tplc="6D7CC7F2">
      <w:numFmt w:val="decimal"/>
      <w:lvlText w:val=""/>
      <w:lvlJc w:val="left"/>
    </w:lvl>
    <w:lvl w:ilvl="6" w:tplc="44409EFE">
      <w:numFmt w:val="decimal"/>
      <w:lvlText w:val=""/>
      <w:lvlJc w:val="left"/>
    </w:lvl>
    <w:lvl w:ilvl="7" w:tplc="205012BA">
      <w:numFmt w:val="decimal"/>
      <w:lvlText w:val=""/>
      <w:lvlJc w:val="left"/>
    </w:lvl>
    <w:lvl w:ilvl="8" w:tplc="B5B8F6CC">
      <w:numFmt w:val="decimal"/>
      <w:lvlText w:val=""/>
      <w:lvlJc w:val="left"/>
    </w:lvl>
  </w:abstractNum>
  <w:abstractNum w:abstractNumId="19" w15:restartNumberingAfterBreak="0">
    <w:nsid w:val="1C1E5D72"/>
    <w:multiLevelType w:val="hybridMultilevel"/>
    <w:tmpl w:val="5CFA64E6"/>
    <w:lvl w:ilvl="0" w:tplc="4DDA24A8">
      <w:start w:val="1"/>
      <w:numFmt w:val="bullet"/>
      <w:lvlText w:val=""/>
      <w:lvlJc w:val="left"/>
      <w:pPr>
        <w:tabs>
          <w:tab w:val="num" w:pos="900"/>
        </w:tabs>
        <w:ind w:left="540" w:hanging="360"/>
      </w:pPr>
      <w:rPr>
        <w:rFonts w:ascii="Symbol" w:hAnsi="Symbol" w:hint="default"/>
      </w:rPr>
    </w:lvl>
    <w:lvl w:ilvl="1" w:tplc="B518F51E">
      <w:numFmt w:val="decimal"/>
      <w:lvlText w:val=""/>
      <w:lvlJc w:val="left"/>
    </w:lvl>
    <w:lvl w:ilvl="2" w:tplc="39967A7E">
      <w:numFmt w:val="decimal"/>
      <w:lvlText w:val=""/>
      <w:lvlJc w:val="left"/>
    </w:lvl>
    <w:lvl w:ilvl="3" w:tplc="C63A21B8">
      <w:numFmt w:val="decimal"/>
      <w:lvlText w:val=""/>
      <w:lvlJc w:val="left"/>
    </w:lvl>
    <w:lvl w:ilvl="4" w:tplc="14987E0A">
      <w:numFmt w:val="decimal"/>
      <w:lvlText w:val=""/>
      <w:lvlJc w:val="left"/>
    </w:lvl>
    <w:lvl w:ilvl="5" w:tplc="A42A769C">
      <w:numFmt w:val="decimal"/>
      <w:lvlText w:val=""/>
      <w:lvlJc w:val="left"/>
    </w:lvl>
    <w:lvl w:ilvl="6" w:tplc="C35AF59C">
      <w:numFmt w:val="decimal"/>
      <w:lvlText w:val=""/>
      <w:lvlJc w:val="left"/>
    </w:lvl>
    <w:lvl w:ilvl="7" w:tplc="0AF83E80">
      <w:numFmt w:val="decimal"/>
      <w:lvlText w:val=""/>
      <w:lvlJc w:val="left"/>
    </w:lvl>
    <w:lvl w:ilvl="8" w:tplc="172A0E6A">
      <w:numFmt w:val="decimal"/>
      <w:lvlText w:val=""/>
      <w:lvlJc w:val="left"/>
    </w:lvl>
  </w:abstractNum>
  <w:abstractNum w:abstractNumId="20" w15:restartNumberingAfterBreak="0">
    <w:nsid w:val="1CD70970"/>
    <w:multiLevelType w:val="hybridMultilevel"/>
    <w:tmpl w:val="974CDC14"/>
    <w:lvl w:ilvl="0" w:tplc="866E8BD0">
      <w:start w:val="1"/>
      <w:numFmt w:val="bullet"/>
      <w:lvlText w:val=""/>
      <w:lvlJc w:val="left"/>
      <w:pPr>
        <w:tabs>
          <w:tab w:val="num" w:pos="900"/>
        </w:tabs>
        <w:ind w:left="540" w:hanging="360"/>
      </w:pPr>
      <w:rPr>
        <w:rFonts w:ascii="Symbol" w:hAnsi="Symbol" w:hint="default"/>
      </w:rPr>
    </w:lvl>
    <w:lvl w:ilvl="1" w:tplc="392813B4">
      <w:numFmt w:val="decimal"/>
      <w:lvlText w:val=""/>
      <w:lvlJc w:val="left"/>
    </w:lvl>
    <w:lvl w:ilvl="2" w:tplc="387085EC">
      <w:numFmt w:val="decimal"/>
      <w:lvlText w:val=""/>
      <w:lvlJc w:val="left"/>
    </w:lvl>
    <w:lvl w:ilvl="3" w:tplc="2FDA40AC">
      <w:numFmt w:val="decimal"/>
      <w:lvlText w:val=""/>
      <w:lvlJc w:val="left"/>
    </w:lvl>
    <w:lvl w:ilvl="4" w:tplc="63EA962A">
      <w:numFmt w:val="decimal"/>
      <w:lvlText w:val=""/>
      <w:lvlJc w:val="left"/>
    </w:lvl>
    <w:lvl w:ilvl="5" w:tplc="66A8C532">
      <w:numFmt w:val="decimal"/>
      <w:lvlText w:val=""/>
      <w:lvlJc w:val="left"/>
    </w:lvl>
    <w:lvl w:ilvl="6" w:tplc="CA7ED292">
      <w:numFmt w:val="decimal"/>
      <w:lvlText w:val=""/>
      <w:lvlJc w:val="left"/>
    </w:lvl>
    <w:lvl w:ilvl="7" w:tplc="B51802DA">
      <w:numFmt w:val="decimal"/>
      <w:lvlText w:val=""/>
      <w:lvlJc w:val="left"/>
    </w:lvl>
    <w:lvl w:ilvl="8" w:tplc="A34E9A4C">
      <w:numFmt w:val="decimal"/>
      <w:lvlText w:val=""/>
      <w:lvlJc w:val="left"/>
    </w:lvl>
  </w:abstractNum>
  <w:abstractNum w:abstractNumId="21" w15:restartNumberingAfterBreak="0">
    <w:nsid w:val="1D7252B5"/>
    <w:multiLevelType w:val="hybridMultilevel"/>
    <w:tmpl w:val="722A4B90"/>
    <w:lvl w:ilvl="0" w:tplc="528C55F8">
      <w:start w:val="1"/>
      <w:numFmt w:val="bullet"/>
      <w:lvlText w:val=""/>
      <w:lvlJc w:val="left"/>
      <w:pPr>
        <w:tabs>
          <w:tab w:val="num" w:pos="900"/>
        </w:tabs>
        <w:ind w:left="540" w:hanging="360"/>
      </w:pPr>
      <w:rPr>
        <w:rFonts w:ascii="Symbol" w:hAnsi="Symbol" w:hint="default"/>
      </w:rPr>
    </w:lvl>
    <w:lvl w:ilvl="1" w:tplc="7C86A614">
      <w:numFmt w:val="decimal"/>
      <w:lvlText w:val=""/>
      <w:lvlJc w:val="left"/>
    </w:lvl>
    <w:lvl w:ilvl="2" w:tplc="FFAE6634">
      <w:numFmt w:val="decimal"/>
      <w:lvlText w:val=""/>
      <w:lvlJc w:val="left"/>
    </w:lvl>
    <w:lvl w:ilvl="3" w:tplc="3BBE6B02">
      <w:numFmt w:val="decimal"/>
      <w:lvlText w:val=""/>
      <w:lvlJc w:val="left"/>
    </w:lvl>
    <w:lvl w:ilvl="4" w:tplc="A5808AF6">
      <w:numFmt w:val="decimal"/>
      <w:lvlText w:val=""/>
      <w:lvlJc w:val="left"/>
    </w:lvl>
    <w:lvl w:ilvl="5" w:tplc="892A9772">
      <w:numFmt w:val="decimal"/>
      <w:lvlText w:val=""/>
      <w:lvlJc w:val="left"/>
    </w:lvl>
    <w:lvl w:ilvl="6" w:tplc="82A45500">
      <w:numFmt w:val="decimal"/>
      <w:lvlText w:val=""/>
      <w:lvlJc w:val="left"/>
    </w:lvl>
    <w:lvl w:ilvl="7" w:tplc="44E0CDC6">
      <w:numFmt w:val="decimal"/>
      <w:lvlText w:val=""/>
      <w:lvlJc w:val="left"/>
    </w:lvl>
    <w:lvl w:ilvl="8" w:tplc="D9FC2E56">
      <w:numFmt w:val="decimal"/>
      <w:lvlText w:val=""/>
      <w:lvlJc w:val="left"/>
    </w:lvl>
  </w:abstractNum>
  <w:abstractNum w:abstractNumId="22" w15:restartNumberingAfterBreak="0">
    <w:nsid w:val="1EBB18D9"/>
    <w:multiLevelType w:val="hybridMultilevel"/>
    <w:tmpl w:val="EBFEFE14"/>
    <w:lvl w:ilvl="0" w:tplc="0E9E444E">
      <w:start w:val="1"/>
      <w:numFmt w:val="bullet"/>
      <w:lvlText w:val=""/>
      <w:lvlJc w:val="left"/>
      <w:pPr>
        <w:tabs>
          <w:tab w:val="num" w:pos="900"/>
        </w:tabs>
        <w:ind w:left="540" w:hanging="360"/>
      </w:pPr>
      <w:rPr>
        <w:rFonts w:ascii="Symbol" w:hAnsi="Symbol" w:hint="default"/>
      </w:rPr>
    </w:lvl>
    <w:lvl w:ilvl="1" w:tplc="DD386646">
      <w:numFmt w:val="decimal"/>
      <w:lvlText w:val=""/>
      <w:lvlJc w:val="left"/>
    </w:lvl>
    <w:lvl w:ilvl="2" w:tplc="E6E0A29C">
      <w:numFmt w:val="decimal"/>
      <w:lvlText w:val=""/>
      <w:lvlJc w:val="left"/>
    </w:lvl>
    <w:lvl w:ilvl="3" w:tplc="B38463C4">
      <w:numFmt w:val="decimal"/>
      <w:lvlText w:val=""/>
      <w:lvlJc w:val="left"/>
    </w:lvl>
    <w:lvl w:ilvl="4" w:tplc="F05A68BC">
      <w:numFmt w:val="decimal"/>
      <w:lvlText w:val=""/>
      <w:lvlJc w:val="left"/>
    </w:lvl>
    <w:lvl w:ilvl="5" w:tplc="8A94EE3C">
      <w:numFmt w:val="decimal"/>
      <w:lvlText w:val=""/>
      <w:lvlJc w:val="left"/>
    </w:lvl>
    <w:lvl w:ilvl="6" w:tplc="F96C4402">
      <w:numFmt w:val="decimal"/>
      <w:lvlText w:val=""/>
      <w:lvlJc w:val="left"/>
    </w:lvl>
    <w:lvl w:ilvl="7" w:tplc="634CBAE8">
      <w:numFmt w:val="decimal"/>
      <w:lvlText w:val=""/>
      <w:lvlJc w:val="left"/>
    </w:lvl>
    <w:lvl w:ilvl="8" w:tplc="03288280">
      <w:numFmt w:val="decimal"/>
      <w:lvlText w:val=""/>
      <w:lvlJc w:val="left"/>
    </w:lvl>
  </w:abstractNum>
  <w:abstractNum w:abstractNumId="23" w15:restartNumberingAfterBreak="0">
    <w:nsid w:val="1F5F4158"/>
    <w:multiLevelType w:val="hybridMultilevel"/>
    <w:tmpl w:val="F944625A"/>
    <w:lvl w:ilvl="0" w:tplc="9098C022">
      <w:start w:val="1"/>
      <w:numFmt w:val="bullet"/>
      <w:lvlText w:val=""/>
      <w:lvlJc w:val="left"/>
      <w:pPr>
        <w:tabs>
          <w:tab w:val="num" w:pos="900"/>
        </w:tabs>
        <w:ind w:left="540" w:hanging="360"/>
      </w:pPr>
      <w:rPr>
        <w:rFonts w:ascii="Symbol" w:hAnsi="Symbol" w:hint="default"/>
      </w:rPr>
    </w:lvl>
    <w:lvl w:ilvl="1" w:tplc="4F1AF938">
      <w:numFmt w:val="decimal"/>
      <w:lvlText w:val=""/>
      <w:lvlJc w:val="left"/>
    </w:lvl>
    <w:lvl w:ilvl="2" w:tplc="98E2C004">
      <w:numFmt w:val="decimal"/>
      <w:lvlText w:val=""/>
      <w:lvlJc w:val="left"/>
    </w:lvl>
    <w:lvl w:ilvl="3" w:tplc="CCCAEA64">
      <w:numFmt w:val="decimal"/>
      <w:lvlText w:val=""/>
      <w:lvlJc w:val="left"/>
    </w:lvl>
    <w:lvl w:ilvl="4" w:tplc="82CA1C1C">
      <w:numFmt w:val="decimal"/>
      <w:lvlText w:val=""/>
      <w:lvlJc w:val="left"/>
    </w:lvl>
    <w:lvl w:ilvl="5" w:tplc="DCDA57D0">
      <w:numFmt w:val="decimal"/>
      <w:lvlText w:val=""/>
      <w:lvlJc w:val="left"/>
    </w:lvl>
    <w:lvl w:ilvl="6" w:tplc="52FE5EF0">
      <w:numFmt w:val="decimal"/>
      <w:lvlText w:val=""/>
      <w:lvlJc w:val="left"/>
    </w:lvl>
    <w:lvl w:ilvl="7" w:tplc="BAA4AC88">
      <w:numFmt w:val="decimal"/>
      <w:lvlText w:val=""/>
      <w:lvlJc w:val="left"/>
    </w:lvl>
    <w:lvl w:ilvl="8" w:tplc="680CF1A0">
      <w:numFmt w:val="decimal"/>
      <w:lvlText w:val=""/>
      <w:lvlJc w:val="left"/>
    </w:lvl>
  </w:abstractNum>
  <w:abstractNum w:abstractNumId="24" w15:restartNumberingAfterBreak="0">
    <w:nsid w:val="1F6B0D0E"/>
    <w:multiLevelType w:val="hybridMultilevel"/>
    <w:tmpl w:val="F8383A74"/>
    <w:lvl w:ilvl="0" w:tplc="CBDA26E6">
      <w:start w:val="1"/>
      <w:numFmt w:val="bullet"/>
      <w:lvlText w:val=""/>
      <w:lvlJc w:val="left"/>
      <w:pPr>
        <w:tabs>
          <w:tab w:val="num" w:pos="900"/>
        </w:tabs>
        <w:ind w:left="540" w:hanging="360"/>
      </w:pPr>
      <w:rPr>
        <w:rFonts w:ascii="Symbol" w:hAnsi="Symbol" w:hint="default"/>
      </w:rPr>
    </w:lvl>
    <w:lvl w:ilvl="1" w:tplc="A9EA0DD6">
      <w:numFmt w:val="decimal"/>
      <w:lvlText w:val=""/>
      <w:lvlJc w:val="left"/>
    </w:lvl>
    <w:lvl w:ilvl="2" w:tplc="3DECDAA2">
      <w:numFmt w:val="decimal"/>
      <w:lvlText w:val=""/>
      <w:lvlJc w:val="left"/>
    </w:lvl>
    <w:lvl w:ilvl="3" w:tplc="F102872C">
      <w:numFmt w:val="decimal"/>
      <w:lvlText w:val=""/>
      <w:lvlJc w:val="left"/>
    </w:lvl>
    <w:lvl w:ilvl="4" w:tplc="3064BCDE">
      <w:numFmt w:val="decimal"/>
      <w:lvlText w:val=""/>
      <w:lvlJc w:val="left"/>
    </w:lvl>
    <w:lvl w:ilvl="5" w:tplc="3B64BBF4">
      <w:numFmt w:val="decimal"/>
      <w:lvlText w:val=""/>
      <w:lvlJc w:val="left"/>
    </w:lvl>
    <w:lvl w:ilvl="6" w:tplc="0E6E00BA">
      <w:numFmt w:val="decimal"/>
      <w:lvlText w:val=""/>
      <w:lvlJc w:val="left"/>
    </w:lvl>
    <w:lvl w:ilvl="7" w:tplc="560EE50E">
      <w:numFmt w:val="decimal"/>
      <w:lvlText w:val=""/>
      <w:lvlJc w:val="left"/>
    </w:lvl>
    <w:lvl w:ilvl="8" w:tplc="F0185F46">
      <w:numFmt w:val="decimal"/>
      <w:lvlText w:val=""/>
      <w:lvlJc w:val="left"/>
    </w:lvl>
  </w:abstractNum>
  <w:abstractNum w:abstractNumId="25" w15:restartNumberingAfterBreak="0">
    <w:nsid w:val="20A33D3A"/>
    <w:multiLevelType w:val="hybridMultilevel"/>
    <w:tmpl w:val="2496E9C2"/>
    <w:lvl w:ilvl="0" w:tplc="3DA682AC">
      <w:start w:val="1"/>
      <w:numFmt w:val="bullet"/>
      <w:lvlText w:val=""/>
      <w:lvlJc w:val="left"/>
      <w:pPr>
        <w:tabs>
          <w:tab w:val="num" w:pos="900"/>
        </w:tabs>
        <w:ind w:left="540" w:hanging="360"/>
      </w:pPr>
      <w:rPr>
        <w:rFonts w:ascii="Symbol" w:hAnsi="Symbol" w:hint="default"/>
      </w:rPr>
    </w:lvl>
    <w:lvl w:ilvl="1" w:tplc="8CCE459A">
      <w:numFmt w:val="decimal"/>
      <w:lvlText w:val=""/>
      <w:lvlJc w:val="left"/>
    </w:lvl>
    <w:lvl w:ilvl="2" w:tplc="8152B462">
      <w:numFmt w:val="decimal"/>
      <w:lvlText w:val=""/>
      <w:lvlJc w:val="left"/>
    </w:lvl>
    <w:lvl w:ilvl="3" w:tplc="C5DE63D4">
      <w:numFmt w:val="decimal"/>
      <w:lvlText w:val=""/>
      <w:lvlJc w:val="left"/>
    </w:lvl>
    <w:lvl w:ilvl="4" w:tplc="2CA40CA6">
      <w:numFmt w:val="decimal"/>
      <w:lvlText w:val=""/>
      <w:lvlJc w:val="left"/>
    </w:lvl>
    <w:lvl w:ilvl="5" w:tplc="A8E837BA">
      <w:numFmt w:val="decimal"/>
      <w:lvlText w:val=""/>
      <w:lvlJc w:val="left"/>
    </w:lvl>
    <w:lvl w:ilvl="6" w:tplc="49C81248">
      <w:numFmt w:val="decimal"/>
      <w:lvlText w:val=""/>
      <w:lvlJc w:val="left"/>
    </w:lvl>
    <w:lvl w:ilvl="7" w:tplc="90D4B656">
      <w:numFmt w:val="decimal"/>
      <w:lvlText w:val=""/>
      <w:lvlJc w:val="left"/>
    </w:lvl>
    <w:lvl w:ilvl="8" w:tplc="851E43A4">
      <w:numFmt w:val="decimal"/>
      <w:lvlText w:val=""/>
      <w:lvlJc w:val="left"/>
    </w:lvl>
  </w:abstractNum>
  <w:abstractNum w:abstractNumId="26" w15:restartNumberingAfterBreak="0">
    <w:nsid w:val="217B1756"/>
    <w:multiLevelType w:val="hybridMultilevel"/>
    <w:tmpl w:val="F4224B4E"/>
    <w:lvl w:ilvl="0" w:tplc="566857E2">
      <w:start w:val="1"/>
      <w:numFmt w:val="bullet"/>
      <w:lvlText w:val=""/>
      <w:lvlJc w:val="left"/>
      <w:pPr>
        <w:tabs>
          <w:tab w:val="num" w:pos="900"/>
        </w:tabs>
        <w:ind w:left="540" w:hanging="360"/>
      </w:pPr>
      <w:rPr>
        <w:rFonts w:ascii="Symbol" w:hAnsi="Symbol" w:hint="default"/>
      </w:rPr>
    </w:lvl>
    <w:lvl w:ilvl="1" w:tplc="01406818">
      <w:numFmt w:val="decimal"/>
      <w:lvlText w:val=""/>
      <w:lvlJc w:val="left"/>
    </w:lvl>
    <w:lvl w:ilvl="2" w:tplc="FC2853B6">
      <w:numFmt w:val="decimal"/>
      <w:lvlText w:val=""/>
      <w:lvlJc w:val="left"/>
    </w:lvl>
    <w:lvl w:ilvl="3" w:tplc="D9FC19E2">
      <w:numFmt w:val="decimal"/>
      <w:lvlText w:val=""/>
      <w:lvlJc w:val="left"/>
    </w:lvl>
    <w:lvl w:ilvl="4" w:tplc="3806C65E">
      <w:numFmt w:val="decimal"/>
      <w:lvlText w:val=""/>
      <w:lvlJc w:val="left"/>
    </w:lvl>
    <w:lvl w:ilvl="5" w:tplc="B164F468">
      <w:numFmt w:val="decimal"/>
      <w:lvlText w:val=""/>
      <w:lvlJc w:val="left"/>
    </w:lvl>
    <w:lvl w:ilvl="6" w:tplc="D3D2C1B0">
      <w:numFmt w:val="decimal"/>
      <w:lvlText w:val=""/>
      <w:lvlJc w:val="left"/>
    </w:lvl>
    <w:lvl w:ilvl="7" w:tplc="38E4FA7E">
      <w:numFmt w:val="decimal"/>
      <w:lvlText w:val=""/>
      <w:lvlJc w:val="left"/>
    </w:lvl>
    <w:lvl w:ilvl="8" w:tplc="4C78FB1E">
      <w:numFmt w:val="decimal"/>
      <w:lvlText w:val=""/>
      <w:lvlJc w:val="left"/>
    </w:lvl>
  </w:abstractNum>
  <w:abstractNum w:abstractNumId="27" w15:restartNumberingAfterBreak="0">
    <w:nsid w:val="22BD767A"/>
    <w:multiLevelType w:val="hybridMultilevel"/>
    <w:tmpl w:val="FA981FEE"/>
    <w:lvl w:ilvl="0" w:tplc="57C0ECBA">
      <w:start w:val="1"/>
      <w:numFmt w:val="bullet"/>
      <w:lvlText w:val=""/>
      <w:lvlJc w:val="left"/>
      <w:pPr>
        <w:tabs>
          <w:tab w:val="num" w:pos="900"/>
        </w:tabs>
        <w:ind w:left="540" w:hanging="360"/>
      </w:pPr>
      <w:rPr>
        <w:rFonts w:ascii="Symbol" w:hAnsi="Symbol" w:hint="default"/>
      </w:rPr>
    </w:lvl>
    <w:lvl w:ilvl="1" w:tplc="20DE32FA">
      <w:numFmt w:val="decimal"/>
      <w:lvlText w:val=""/>
      <w:lvlJc w:val="left"/>
    </w:lvl>
    <w:lvl w:ilvl="2" w:tplc="F5E056C8">
      <w:numFmt w:val="decimal"/>
      <w:lvlText w:val=""/>
      <w:lvlJc w:val="left"/>
    </w:lvl>
    <w:lvl w:ilvl="3" w:tplc="B1465264">
      <w:numFmt w:val="decimal"/>
      <w:lvlText w:val=""/>
      <w:lvlJc w:val="left"/>
    </w:lvl>
    <w:lvl w:ilvl="4" w:tplc="5F940F6A">
      <w:numFmt w:val="decimal"/>
      <w:lvlText w:val=""/>
      <w:lvlJc w:val="left"/>
    </w:lvl>
    <w:lvl w:ilvl="5" w:tplc="A6021BE0">
      <w:numFmt w:val="decimal"/>
      <w:lvlText w:val=""/>
      <w:lvlJc w:val="left"/>
    </w:lvl>
    <w:lvl w:ilvl="6" w:tplc="D2CEA952">
      <w:numFmt w:val="decimal"/>
      <w:lvlText w:val=""/>
      <w:lvlJc w:val="left"/>
    </w:lvl>
    <w:lvl w:ilvl="7" w:tplc="5C14F626">
      <w:numFmt w:val="decimal"/>
      <w:lvlText w:val=""/>
      <w:lvlJc w:val="left"/>
    </w:lvl>
    <w:lvl w:ilvl="8" w:tplc="B2EC7A00">
      <w:numFmt w:val="decimal"/>
      <w:lvlText w:val=""/>
      <w:lvlJc w:val="left"/>
    </w:lvl>
  </w:abstractNum>
  <w:abstractNum w:abstractNumId="28" w15:restartNumberingAfterBreak="0">
    <w:nsid w:val="25B7080D"/>
    <w:multiLevelType w:val="hybridMultilevel"/>
    <w:tmpl w:val="3434FFC2"/>
    <w:lvl w:ilvl="0" w:tplc="6890E24A">
      <w:start w:val="1"/>
      <w:numFmt w:val="bullet"/>
      <w:lvlText w:val=""/>
      <w:lvlJc w:val="left"/>
      <w:pPr>
        <w:tabs>
          <w:tab w:val="num" w:pos="900"/>
        </w:tabs>
        <w:ind w:left="540" w:hanging="360"/>
      </w:pPr>
      <w:rPr>
        <w:rFonts w:ascii="Symbol" w:hAnsi="Symbol" w:hint="default"/>
      </w:rPr>
    </w:lvl>
    <w:lvl w:ilvl="1" w:tplc="D7A20B3A">
      <w:numFmt w:val="decimal"/>
      <w:lvlText w:val=""/>
      <w:lvlJc w:val="left"/>
    </w:lvl>
    <w:lvl w:ilvl="2" w:tplc="0DFA71F2">
      <w:numFmt w:val="decimal"/>
      <w:lvlText w:val=""/>
      <w:lvlJc w:val="left"/>
    </w:lvl>
    <w:lvl w:ilvl="3" w:tplc="F21E13BC">
      <w:numFmt w:val="decimal"/>
      <w:lvlText w:val=""/>
      <w:lvlJc w:val="left"/>
    </w:lvl>
    <w:lvl w:ilvl="4" w:tplc="9B4081F6">
      <w:numFmt w:val="decimal"/>
      <w:lvlText w:val=""/>
      <w:lvlJc w:val="left"/>
    </w:lvl>
    <w:lvl w:ilvl="5" w:tplc="1C844CB8">
      <w:numFmt w:val="decimal"/>
      <w:lvlText w:val=""/>
      <w:lvlJc w:val="left"/>
    </w:lvl>
    <w:lvl w:ilvl="6" w:tplc="ABA0CE4E">
      <w:numFmt w:val="decimal"/>
      <w:lvlText w:val=""/>
      <w:lvlJc w:val="left"/>
    </w:lvl>
    <w:lvl w:ilvl="7" w:tplc="3CE6914C">
      <w:numFmt w:val="decimal"/>
      <w:lvlText w:val=""/>
      <w:lvlJc w:val="left"/>
    </w:lvl>
    <w:lvl w:ilvl="8" w:tplc="A9ACA69C">
      <w:numFmt w:val="decimal"/>
      <w:lvlText w:val=""/>
      <w:lvlJc w:val="left"/>
    </w:lvl>
  </w:abstractNum>
  <w:abstractNum w:abstractNumId="29" w15:restartNumberingAfterBreak="0">
    <w:nsid w:val="27226BF1"/>
    <w:multiLevelType w:val="hybridMultilevel"/>
    <w:tmpl w:val="8ECA7446"/>
    <w:lvl w:ilvl="0" w:tplc="2B0236DE">
      <w:start w:val="1"/>
      <w:numFmt w:val="decimal"/>
      <w:lvlText w:val="%1."/>
      <w:lvlJc w:val="left"/>
      <w:pPr>
        <w:tabs>
          <w:tab w:val="num" w:pos="900"/>
        </w:tabs>
        <w:ind w:left="540" w:hanging="360"/>
      </w:pPr>
    </w:lvl>
    <w:lvl w:ilvl="1" w:tplc="2C4827D6">
      <w:numFmt w:val="decimal"/>
      <w:lvlText w:val=""/>
      <w:lvlJc w:val="left"/>
    </w:lvl>
    <w:lvl w:ilvl="2" w:tplc="ADDA01EA">
      <w:numFmt w:val="decimal"/>
      <w:lvlText w:val=""/>
      <w:lvlJc w:val="left"/>
    </w:lvl>
    <w:lvl w:ilvl="3" w:tplc="C568DC96">
      <w:numFmt w:val="decimal"/>
      <w:lvlText w:val=""/>
      <w:lvlJc w:val="left"/>
    </w:lvl>
    <w:lvl w:ilvl="4" w:tplc="F69422D4">
      <w:numFmt w:val="decimal"/>
      <w:lvlText w:val=""/>
      <w:lvlJc w:val="left"/>
    </w:lvl>
    <w:lvl w:ilvl="5" w:tplc="885A5E82">
      <w:numFmt w:val="decimal"/>
      <w:lvlText w:val=""/>
      <w:lvlJc w:val="left"/>
    </w:lvl>
    <w:lvl w:ilvl="6" w:tplc="382A2E5C">
      <w:numFmt w:val="decimal"/>
      <w:lvlText w:val=""/>
      <w:lvlJc w:val="left"/>
    </w:lvl>
    <w:lvl w:ilvl="7" w:tplc="01602BDE">
      <w:numFmt w:val="decimal"/>
      <w:lvlText w:val=""/>
      <w:lvlJc w:val="left"/>
    </w:lvl>
    <w:lvl w:ilvl="8" w:tplc="3D32F256">
      <w:numFmt w:val="decimal"/>
      <w:lvlText w:val=""/>
      <w:lvlJc w:val="left"/>
    </w:lvl>
  </w:abstractNum>
  <w:abstractNum w:abstractNumId="30" w15:restartNumberingAfterBreak="0">
    <w:nsid w:val="2B17418C"/>
    <w:multiLevelType w:val="hybridMultilevel"/>
    <w:tmpl w:val="D666AFBC"/>
    <w:lvl w:ilvl="0" w:tplc="6DACCC10">
      <w:start w:val="1"/>
      <w:numFmt w:val="bullet"/>
      <w:lvlText w:val=""/>
      <w:lvlJc w:val="left"/>
      <w:pPr>
        <w:tabs>
          <w:tab w:val="num" w:pos="900"/>
        </w:tabs>
        <w:ind w:left="540" w:hanging="360"/>
      </w:pPr>
      <w:rPr>
        <w:rFonts w:ascii="Symbol" w:hAnsi="Symbol" w:hint="default"/>
      </w:rPr>
    </w:lvl>
    <w:lvl w:ilvl="1" w:tplc="26563EAE">
      <w:numFmt w:val="decimal"/>
      <w:lvlText w:val=""/>
      <w:lvlJc w:val="left"/>
    </w:lvl>
    <w:lvl w:ilvl="2" w:tplc="16B0A5BA">
      <w:numFmt w:val="decimal"/>
      <w:lvlText w:val=""/>
      <w:lvlJc w:val="left"/>
    </w:lvl>
    <w:lvl w:ilvl="3" w:tplc="41E08B08">
      <w:numFmt w:val="decimal"/>
      <w:lvlText w:val=""/>
      <w:lvlJc w:val="left"/>
    </w:lvl>
    <w:lvl w:ilvl="4" w:tplc="40764858">
      <w:numFmt w:val="decimal"/>
      <w:lvlText w:val=""/>
      <w:lvlJc w:val="left"/>
    </w:lvl>
    <w:lvl w:ilvl="5" w:tplc="CF209222">
      <w:numFmt w:val="decimal"/>
      <w:lvlText w:val=""/>
      <w:lvlJc w:val="left"/>
    </w:lvl>
    <w:lvl w:ilvl="6" w:tplc="8A369F2A">
      <w:numFmt w:val="decimal"/>
      <w:lvlText w:val=""/>
      <w:lvlJc w:val="left"/>
    </w:lvl>
    <w:lvl w:ilvl="7" w:tplc="8BCED9D2">
      <w:numFmt w:val="decimal"/>
      <w:lvlText w:val=""/>
      <w:lvlJc w:val="left"/>
    </w:lvl>
    <w:lvl w:ilvl="8" w:tplc="0E8666E8">
      <w:numFmt w:val="decimal"/>
      <w:lvlText w:val=""/>
      <w:lvlJc w:val="left"/>
    </w:lvl>
  </w:abstractNum>
  <w:abstractNum w:abstractNumId="31" w15:restartNumberingAfterBreak="0">
    <w:nsid w:val="2BFB05DF"/>
    <w:multiLevelType w:val="hybridMultilevel"/>
    <w:tmpl w:val="FC446B64"/>
    <w:lvl w:ilvl="0" w:tplc="5DC2740C">
      <w:start w:val="1"/>
      <w:numFmt w:val="bullet"/>
      <w:lvlText w:val=""/>
      <w:lvlJc w:val="left"/>
      <w:pPr>
        <w:tabs>
          <w:tab w:val="num" w:pos="900"/>
        </w:tabs>
        <w:ind w:left="540" w:hanging="360"/>
      </w:pPr>
      <w:rPr>
        <w:rFonts w:ascii="Symbol" w:hAnsi="Symbol" w:hint="default"/>
      </w:rPr>
    </w:lvl>
    <w:lvl w:ilvl="1" w:tplc="93A830A8">
      <w:numFmt w:val="decimal"/>
      <w:lvlText w:val=""/>
      <w:lvlJc w:val="left"/>
    </w:lvl>
    <w:lvl w:ilvl="2" w:tplc="120A5986">
      <w:numFmt w:val="decimal"/>
      <w:lvlText w:val=""/>
      <w:lvlJc w:val="left"/>
    </w:lvl>
    <w:lvl w:ilvl="3" w:tplc="DE8EAEEE">
      <w:numFmt w:val="decimal"/>
      <w:lvlText w:val=""/>
      <w:lvlJc w:val="left"/>
    </w:lvl>
    <w:lvl w:ilvl="4" w:tplc="7EC0F9D0">
      <w:numFmt w:val="decimal"/>
      <w:lvlText w:val=""/>
      <w:lvlJc w:val="left"/>
    </w:lvl>
    <w:lvl w:ilvl="5" w:tplc="483C78F0">
      <w:numFmt w:val="decimal"/>
      <w:lvlText w:val=""/>
      <w:lvlJc w:val="left"/>
    </w:lvl>
    <w:lvl w:ilvl="6" w:tplc="0B8EB6CC">
      <w:numFmt w:val="decimal"/>
      <w:lvlText w:val=""/>
      <w:lvlJc w:val="left"/>
    </w:lvl>
    <w:lvl w:ilvl="7" w:tplc="5F524AA2">
      <w:numFmt w:val="decimal"/>
      <w:lvlText w:val=""/>
      <w:lvlJc w:val="left"/>
    </w:lvl>
    <w:lvl w:ilvl="8" w:tplc="BE6CD6C0">
      <w:numFmt w:val="decimal"/>
      <w:lvlText w:val=""/>
      <w:lvlJc w:val="left"/>
    </w:lvl>
  </w:abstractNum>
  <w:abstractNum w:abstractNumId="32" w15:restartNumberingAfterBreak="0">
    <w:nsid w:val="2D1C4FFD"/>
    <w:multiLevelType w:val="hybridMultilevel"/>
    <w:tmpl w:val="D7FED8A4"/>
    <w:lvl w:ilvl="0" w:tplc="C3CE39E2">
      <w:start w:val="1"/>
      <w:numFmt w:val="bullet"/>
      <w:lvlText w:val=""/>
      <w:lvlJc w:val="left"/>
      <w:pPr>
        <w:tabs>
          <w:tab w:val="num" w:pos="900"/>
        </w:tabs>
        <w:ind w:left="540" w:hanging="360"/>
      </w:pPr>
      <w:rPr>
        <w:rFonts w:ascii="Symbol" w:hAnsi="Symbol" w:hint="default"/>
      </w:rPr>
    </w:lvl>
    <w:lvl w:ilvl="1" w:tplc="23DCFD6E">
      <w:numFmt w:val="decimal"/>
      <w:lvlText w:val=""/>
      <w:lvlJc w:val="left"/>
    </w:lvl>
    <w:lvl w:ilvl="2" w:tplc="FA1EE436">
      <w:numFmt w:val="decimal"/>
      <w:lvlText w:val=""/>
      <w:lvlJc w:val="left"/>
    </w:lvl>
    <w:lvl w:ilvl="3" w:tplc="A496A9C8">
      <w:numFmt w:val="decimal"/>
      <w:lvlText w:val=""/>
      <w:lvlJc w:val="left"/>
    </w:lvl>
    <w:lvl w:ilvl="4" w:tplc="EEFE06B8">
      <w:numFmt w:val="decimal"/>
      <w:lvlText w:val=""/>
      <w:lvlJc w:val="left"/>
    </w:lvl>
    <w:lvl w:ilvl="5" w:tplc="3B628E66">
      <w:numFmt w:val="decimal"/>
      <w:lvlText w:val=""/>
      <w:lvlJc w:val="left"/>
    </w:lvl>
    <w:lvl w:ilvl="6" w:tplc="7C683328">
      <w:numFmt w:val="decimal"/>
      <w:lvlText w:val=""/>
      <w:lvlJc w:val="left"/>
    </w:lvl>
    <w:lvl w:ilvl="7" w:tplc="D310AEE2">
      <w:numFmt w:val="decimal"/>
      <w:lvlText w:val=""/>
      <w:lvlJc w:val="left"/>
    </w:lvl>
    <w:lvl w:ilvl="8" w:tplc="A444575C">
      <w:numFmt w:val="decimal"/>
      <w:lvlText w:val=""/>
      <w:lvlJc w:val="left"/>
    </w:lvl>
  </w:abstractNum>
  <w:abstractNum w:abstractNumId="33" w15:restartNumberingAfterBreak="0">
    <w:nsid w:val="307D782E"/>
    <w:multiLevelType w:val="hybridMultilevel"/>
    <w:tmpl w:val="A7C834FC"/>
    <w:lvl w:ilvl="0" w:tplc="129078DE">
      <w:start w:val="1"/>
      <w:numFmt w:val="bullet"/>
      <w:lvlText w:val=""/>
      <w:lvlJc w:val="left"/>
      <w:pPr>
        <w:tabs>
          <w:tab w:val="num" w:pos="900"/>
        </w:tabs>
        <w:ind w:left="540" w:hanging="360"/>
      </w:pPr>
      <w:rPr>
        <w:rFonts w:ascii="Symbol" w:hAnsi="Symbol" w:hint="default"/>
      </w:rPr>
    </w:lvl>
    <w:lvl w:ilvl="1" w:tplc="4C666D62">
      <w:numFmt w:val="decimal"/>
      <w:lvlText w:val=""/>
      <w:lvlJc w:val="left"/>
    </w:lvl>
    <w:lvl w:ilvl="2" w:tplc="A67C9536">
      <w:numFmt w:val="decimal"/>
      <w:lvlText w:val=""/>
      <w:lvlJc w:val="left"/>
    </w:lvl>
    <w:lvl w:ilvl="3" w:tplc="A2CABFCC">
      <w:numFmt w:val="decimal"/>
      <w:lvlText w:val=""/>
      <w:lvlJc w:val="left"/>
    </w:lvl>
    <w:lvl w:ilvl="4" w:tplc="6B74DCC2">
      <w:numFmt w:val="decimal"/>
      <w:lvlText w:val=""/>
      <w:lvlJc w:val="left"/>
    </w:lvl>
    <w:lvl w:ilvl="5" w:tplc="AEE8A596">
      <w:numFmt w:val="decimal"/>
      <w:lvlText w:val=""/>
      <w:lvlJc w:val="left"/>
    </w:lvl>
    <w:lvl w:ilvl="6" w:tplc="FEEC30A6">
      <w:numFmt w:val="decimal"/>
      <w:lvlText w:val=""/>
      <w:lvlJc w:val="left"/>
    </w:lvl>
    <w:lvl w:ilvl="7" w:tplc="B0344A34">
      <w:numFmt w:val="decimal"/>
      <w:lvlText w:val=""/>
      <w:lvlJc w:val="left"/>
    </w:lvl>
    <w:lvl w:ilvl="8" w:tplc="1EE82D10">
      <w:numFmt w:val="decimal"/>
      <w:lvlText w:val=""/>
      <w:lvlJc w:val="left"/>
    </w:lvl>
  </w:abstractNum>
  <w:abstractNum w:abstractNumId="34" w15:restartNumberingAfterBreak="0">
    <w:nsid w:val="31E31A79"/>
    <w:multiLevelType w:val="hybridMultilevel"/>
    <w:tmpl w:val="B1ACA180"/>
    <w:lvl w:ilvl="0" w:tplc="32542A22">
      <w:start w:val="1"/>
      <w:numFmt w:val="bullet"/>
      <w:lvlText w:val=""/>
      <w:lvlJc w:val="left"/>
      <w:pPr>
        <w:tabs>
          <w:tab w:val="num" w:pos="900"/>
        </w:tabs>
        <w:ind w:left="540" w:hanging="360"/>
      </w:pPr>
      <w:rPr>
        <w:rFonts w:ascii="Symbol" w:hAnsi="Symbol" w:hint="default"/>
      </w:rPr>
    </w:lvl>
    <w:lvl w:ilvl="1" w:tplc="D3249A5C">
      <w:numFmt w:val="decimal"/>
      <w:lvlText w:val=""/>
      <w:lvlJc w:val="left"/>
    </w:lvl>
    <w:lvl w:ilvl="2" w:tplc="5D8C3CFC">
      <w:numFmt w:val="decimal"/>
      <w:lvlText w:val=""/>
      <w:lvlJc w:val="left"/>
    </w:lvl>
    <w:lvl w:ilvl="3" w:tplc="E3C80EF2">
      <w:numFmt w:val="decimal"/>
      <w:lvlText w:val=""/>
      <w:lvlJc w:val="left"/>
    </w:lvl>
    <w:lvl w:ilvl="4" w:tplc="B31E30CC">
      <w:numFmt w:val="decimal"/>
      <w:lvlText w:val=""/>
      <w:lvlJc w:val="left"/>
    </w:lvl>
    <w:lvl w:ilvl="5" w:tplc="8BB6332E">
      <w:numFmt w:val="decimal"/>
      <w:lvlText w:val=""/>
      <w:lvlJc w:val="left"/>
    </w:lvl>
    <w:lvl w:ilvl="6" w:tplc="D4E6275A">
      <w:numFmt w:val="decimal"/>
      <w:lvlText w:val=""/>
      <w:lvlJc w:val="left"/>
    </w:lvl>
    <w:lvl w:ilvl="7" w:tplc="EBBE7236">
      <w:numFmt w:val="decimal"/>
      <w:lvlText w:val=""/>
      <w:lvlJc w:val="left"/>
    </w:lvl>
    <w:lvl w:ilvl="8" w:tplc="EE282090">
      <w:numFmt w:val="decimal"/>
      <w:lvlText w:val=""/>
      <w:lvlJc w:val="left"/>
    </w:lvl>
  </w:abstractNum>
  <w:abstractNum w:abstractNumId="35" w15:restartNumberingAfterBreak="0">
    <w:nsid w:val="32720D7D"/>
    <w:multiLevelType w:val="hybridMultilevel"/>
    <w:tmpl w:val="6B16B374"/>
    <w:lvl w:ilvl="0" w:tplc="0192B410">
      <w:start w:val="1"/>
      <w:numFmt w:val="bullet"/>
      <w:lvlText w:val=""/>
      <w:lvlJc w:val="left"/>
      <w:pPr>
        <w:tabs>
          <w:tab w:val="num" w:pos="900"/>
        </w:tabs>
        <w:ind w:left="540" w:hanging="360"/>
      </w:pPr>
      <w:rPr>
        <w:rFonts w:ascii="Symbol" w:hAnsi="Symbol" w:hint="default"/>
      </w:rPr>
    </w:lvl>
    <w:lvl w:ilvl="1" w:tplc="3D1E18DE">
      <w:numFmt w:val="decimal"/>
      <w:lvlText w:val=""/>
      <w:lvlJc w:val="left"/>
    </w:lvl>
    <w:lvl w:ilvl="2" w:tplc="638C45E8">
      <w:numFmt w:val="decimal"/>
      <w:lvlText w:val=""/>
      <w:lvlJc w:val="left"/>
    </w:lvl>
    <w:lvl w:ilvl="3" w:tplc="6B144B9A">
      <w:numFmt w:val="decimal"/>
      <w:lvlText w:val=""/>
      <w:lvlJc w:val="left"/>
    </w:lvl>
    <w:lvl w:ilvl="4" w:tplc="EB221682">
      <w:numFmt w:val="decimal"/>
      <w:lvlText w:val=""/>
      <w:lvlJc w:val="left"/>
    </w:lvl>
    <w:lvl w:ilvl="5" w:tplc="E91EC1E0">
      <w:numFmt w:val="decimal"/>
      <w:lvlText w:val=""/>
      <w:lvlJc w:val="left"/>
    </w:lvl>
    <w:lvl w:ilvl="6" w:tplc="3800B66E">
      <w:numFmt w:val="decimal"/>
      <w:lvlText w:val=""/>
      <w:lvlJc w:val="left"/>
    </w:lvl>
    <w:lvl w:ilvl="7" w:tplc="4A04D0BE">
      <w:numFmt w:val="decimal"/>
      <w:lvlText w:val=""/>
      <w:lvlJc w:val="left"/>
    </w:lvl>
    <w:lvl w:ilvl="8" w:tplc="A88ECE02">
      <w:numFmt w:val="decimal"/>
      <w:lvlText w:val=""/>
      <w:lvlJc w:val="left"/>
    </w:lvl>
  </w:abstractNum>
  <w:abstractNum w:abstractNumId="36" w15:restartNumberingAfterBreak="0">
    <w:nsid w:val="333D66E7"/>
    <w:multiLevelType w:val="hybridMultilevel"/>
    <w:tmpl w:val="0E38B9D2"/>
    <w:lvl w:ilvl="0" w:tplc="51629B20">
      <w:start w:val="1"/>
      <w:numFmt w:val="bullet"/>
      <w:lvlText w:val=""/>
      <w:lvlJc w:val="left"/>
      <w:pPr>
        <w:tabs>
          <w:tab w:val="num" w:pos="900"/>
        </w:tabs>
        <w:ind w:left="540" w:hanging="360"/>
      </w:pPr>
      <w:rPr>
        <w:rFonts w:ascii="Symbol" w:hAnsi="Symbol" w:hint="default"/>
      </w:rPr>
    </w:lvl>
    <w:lvl w:ilvl="1" w:tplc="B608DBF4">
      <w:numFmt w:val="decimal"/>
      <w:lvlText w:val=""/>
      <w:lvlJc w:val="left"/>
    </w:lvl>
    <w:lvl w:ilvl="2" w:tplc="A9CA51A4">
      <w:numFmt w:val="decimal"/>
      <w:lvlText w:val=""/>
      <w:lvlJc w:val="left"/>
    </w:lvl>
    <w:lvl w:ilvl="3" w:tplc="7E6EAC6C">
      <w:numFmt w:val="decimal"/>
      <w:lvlText w:val=""/>
      <w:lvlJc w:val="left"/>
    </w:lvl>
    <w:lvl w:ilvl="4" w:tplc="55DC6504">
      <w:numFmt w:val="decimal"/>
      <w:lvlText w:val=""/>
      <w:lvlJc w:val="left"/>
    </w:lvl>
    <w:lvl w:ilvl="5" w:tplc="C0786FDC">
      <w:numFmt w:val="decimal"/>
      <w:lvlText w:val=""/>
      <w:lvlJc w:val="left"/>
    </w:lvl>
    <w:lvl w:ilvl="6" w:tplc="A9D6EDC4">
      <w:numFmt w:val="decimal"/>
      <w:lvlText w:val=""/>
      <w:lvlJc w:val="left"/>
    </w:lvl>
    <w:lvl w:ilvl="7" w:tplc="1BD86D5C">
      <w:numFmt w:val="decimal"/>
      <w:lvlText w:val=""/>
      <w:lvlJc w:val="left"/>
    </w:lvl>
    <w:lvl w:ilvl="8" w:tplc="D8CC8C86">
      <w:numFmt w:val="decimal"/>
      <w:lvlText w:val=""/>
      <w:lvlJc w:val="left"/>
    </w:lvl>
  </w:abstractNum>
  <w:abstractNum w:abstractNumId="37" w15:restartNumberingAfterBreak="0">
    <w:nsid w:val="33A5017A"/>
    <w:multiLevelType w:val="hybridMultilevel"/>
    <w:tmpl w:val="8D709204"/>
    <w:lvl w:ilvl="0" w:tplc="23A4B7FE">
      <w:start w:val="1"/>
      <w:numFmt w:val="bullet"/>
      <w:lvlText w:val=""/>
      <w:lvlJc w:val="left"/>
      <w:pPr>
        <w:tabs>
          <w:tab w:val="num" w:pos="900"/>
        </w:tabs>
        <w:ind w:left="540" w:hanging="360"/>
      </w:pPr>
      <w:rPr>
        <w:rFonts w:ascii="Symbol" w:hAnsi="Symbol" w:hint="default"/>
      </w:rPr>
    </w:lvl>
    <w:lvl w:ilvl="1" w:tplc="34D4F97C">
      <w:numFmt w:val="decimal"/>
      <w:lvlText w:val=""/>
      <w:lvlJc w:val="left"/>
    </w:lvl>
    <w:lvl w:ilvl="2" w:tplc="C73AA28E">
      <w:numFmt w:val="decimal"/>
      <w:lvlText w:val=""/>
      <w:lvlJc w:val="left"/>
    </w:lvl>
    <w:lvl w:ilvl="3" w:tplc="9AE27242">
      <w:numFmt w:val="decimal"/>
      <w:lvlText w:val=""/>
      <w:lvlJc w:val="left"/>
    </w:lvl>
    <w:lvl w:ilvl="4" w:tplc="E59AFBC0">
      <w:numFmt w:val="decimal"/>
      <w:lvlText w:val=""/>
      <w:lvlJc w:val="left"/>
    </w:lvl>
    <w:lvl w:ilvl="5" w:tplc="8A36A334">
      <w:numFmt w:val="decimal"/>
      <w:lvlText w:val=""/>
      <w:lvlJc w:val="left"/>
    </w:lvl>
    <w:lvl w:ilvl="6" w:tplc="6E289110">
      <w:numFmt w:val="decimal"/>
      <w:lvlText w:val=""/>
      <w:lvlJc w:val="left"/>
    </w:lvl>
    <w:lvl w:ilvl="7" w:tplc="8ABEFFB6">
      <w:numFmt w:val="decimal"/>
      <w:lvlText w:val=""/>
      <w:lvlJc w:val="left"/>
    </w:lvl>
    <w:lvl w:ilvl="8" w:tplc="B510A092">
      <w:numFmt w:val="decimal"/>
      <w:lvlText w:val=""/>
      <w:lvlJc w:val="left"/>
    </w:lvl>
  </w:abstractNum>
  <w:abstractNum w:abstractNumId="38" w15:restartNumberingAfterBreak="0">
    <w:nsid w:val="34F55DC6"/>
    <w:multiLevelType w:val="hybridMultilevel"/>
    <w:tmpl w:val="649C4C72"/>
    <w:lvl w:ilvl="0" w:tplc="01F8E37E">
      <w:start w:val="1"/>
      <w:numFmt w:val="bullet"/>
      <w:lvlText w:val=""/>
      <w:lvlJc w:val="left"/>
      <w:pPr>
        <w:tabs>
          <w:tab w:val="num" w:pos="900"/>
        </w:tabs>
        <w:ind w:left="540" w:hanging="360"/>
      </w:pPr>
      <w:rPr>
        <w:rFonts w:ascii="Symbol" w:hAnsi="Symbol" w:hint="default"/>
      </w:rPr>
    </w:lvl>
    <w:lvl w:ilvl="1" w:tplc="0456C822">
      <w:numFmt w:val="decimal"/>
      <w:lvlText w:val=""/>
      <w:lvlJc w:val="left"/>
    </w:lvl>
    <w:lvl w:ilvl="2" w:tplc="7C66FD10">
      <w:numFmt w:val="decimal"/>
      <w:lvlText w:val=""/>
      <w:lvlJc w:val="left"/>
    </w:lvl>
    <w:lvl w:ilvl="3" w:tplc="FDC87832">
      <w:numFmt w:val="decimal"/>
      <w:lvlText w:val=""/>
      <w:lvlJc w:val="left"/>
    </w:lvl>
    <w:lvl w:ilvl="4" w:tplc="9E5CB862">
      <w:numFmt w:val="decimal"/>
      <w:lvlText w:val=""/>
      <w:lvlJc w:val="left"/>
    </w:lvl>
    <w:lvl w:ilvl="5" w:tplc="30045380">
      <w:numFmt w:val="decimal"/>
      <w:lvlText w:val=""/>
      <w:lvlJc w:val="left"/>
    </w:lvl>
    <w:lvl w:ilvl="6" w:tplc="BD84EC02">
      <w:numFmt w:val="decimal"/>
      <w:lvlText w:val=""/>
      <w:lvlJc w:val="left"/>
    </w:lvl>
    <w:lvl w:ilvl="7" w:tplc="BF84E418">
      <w:numFmt w:val="decimal"/>
      <w:lvlText w:val=""/>
      <w:lvlJc w:val="left"/>
    </w:lvl>
    <w:lvl w:ilvl="8" w:tplc="2E7A6296">
      <w:numFmt w:val="decimal"/>
      <w:lvlText w:val=""/>
      <w:lvlJc w:val="left"/>
    </w:lvl>
  </w:abstractNum>
  <w:abstractNum w:abstractNumId="39" w15:restartNumberingAfterBreak="0">
    <w:nsid w:val="352B7157"/>
    <w:multiLevelType w:val="hybridMultilevel"/>
    <w:tmpl w:val="D7CEA726"/>
    <w:lvl w:ilvl="0" w:tplc="FBA22274">
      <w:start w:val="1"/>
      <w:numFmt w:val="bullet"/>
      <w:lvlText w:val=""/>
      <w:lvlJc w:val="left"/>
      <w:pPr>
        <w:tabs>
          <w:tab w:val="num" w:pos="900"/>
        </w:tabs>
        <w:ind w:left="540" w:hanging="360"/>
      </w:pPr>
      <w:rPr>
        <w:rFonts w:ascii="Symbol" w:hAnsi="Symbol" w:hint="default"/>
      </w:rPr>
    </w:lvl>
    <w:lvl w:ilvl="1" w:tplc="2A3CB5AA">
      <w:numFmt w:val="decimal"/>
      <w:lvlText w:val=""/>
      <w:lvlJc w:val="left"/>
    </w:lvl>
    <w:lvl w:ilvl="2" w:tplc="E19E1D5A">
      <w:numFmt w:val="decimal"/>
      <w:lvlText w:val=""/>
      <w:lvlJc w:val="left"/>
    </w:lvl>
    <w:lvl w:ilvl="3" w:tplc="7664601A">
      <w:numFmt w:val="decimal"/>
      <w:lvlText w:val=""/>
      <w:lvlJc w:val="left"/>
    </w:lvl>
    <w:lvl w:ilvl="4" w:tplc="3D30E1EC">
      <w:numFmt w:val="decimal"/>
      <w:lvlText w:val=""/>
      <w:lvlJc w:val="left"/>
    </w:lvl>
    <w:lvl w:ilvl="5" w:tplc="D4BCCC3C">
      <w:numFmt w:val="decimal"/>
      <w:lvlText w:val=""/>
      <w:lvlJc w:val="left"/>
    </w:lvl>
    <w:lvl w:ilvl="6" w:tplc="90988B58">
      <w:numFmt w:val="decimal"/>
      <w:lvlText w:val=""/>
      <w:lvlJc w:val="left"/>
    </w:lvl>
    <w:lvl w:ilvl="7" w:tplc="283A7C9E">
      <w:numFmt w:val="decimal"/>
      <w:lvlText w:val=""/>
      <w:lvlJc w:val="left"/>
    </w:lvl>
    <w:lvl w:ilvl="8" w:tplc="3E7C960A">
      <w:numFmt w:val="decimal"/>
      <w:lvlText w:val=""/>
      <w:lvlJc w:val="left"/>
    </w:lvl>
  </w:abstractNum>
  <w:abstractNum w:abstractNumId="40" w15:restartNumberingAfterBreak="0">
    <w:nsid w:val="374F0DBA"/>
    <w:multiLevelType w:val="hybridMultilevel"/>
    <w:tmpl w:val="84CC236E"/>
    <w:lvl w:ilvl="0" w:tplc="A0B85CD6">
      <w:start w:val="1"/>
      <w:numFmt w:val="bullet"/>
      <w:lvlText w:val=""/>
      <w:lvlJc w:val="left"/>
      <w:pPr>
        <w:tabs>
          <w:tab w:val="num" w:pos="900"/>
        </w:tabs>
        <w:ind w:left="540" w:hanging="360"/>
      </w:pPr>
      <w:rPr>
        <w:rFonts w:ascii="Symbol" w:hAnsi="Symbol" w:hint="default"/>
      </w:rPr>
    </w:lvl>
    <w:lvl w:ilvl="1" w:tplc="E4F2DB74">
      <w:numFmt w:val="decimal"/>
      <w:lvlText w:val=""/>
      <w:lvlJc w:val="left"/>
    </w:lvl>
    <w:lvl w:ilvl="2" w:tplc="6E3ECAC2">
      <w:numFmt w:val="decimal"/>
      <w:lvlText w:val=""/>
      <w:lvlJc w:val="left"/>
    </w:lvl>
    <w:lvl w:ilvl="3" w:tplc="EDB4B0C2">
      <w:numFmt w:val="decimal"/>
      <w:lvlText w:val=""/>
      <w:lvlJc w:val="left"/>
    </w:lvl>
    <w:lvl w:ilvl="4" w:tplc="B66E14FE">
      <w:numFmt w:val="decimal"/>
      <w:lvlText w:val=""/>
      <w:lvlJc w:val="left"/>
    </w:lvl>
    <w:lvl w:ilvl="5" w:tplc="C430F9F0">
      <w:numFmt w:val="decimal"/>
      <w:lvlText w:val=""/>
      <w:lvlJc w:val="left"/>
    </w:lvl>
    <w:lvl w:ilvl="6" w:tplc="1EDE990E">
      <w:numFmt w:val="decimal"/>
      <w:lvlText w:val=""/>
      <w:lvlJc w:val="left"/>
    </w:lvl>
    <w:lvl w:ilvl="7" w:tplc="275425F8">
      <w:numFmt w:val="decimal"/>
      <w:lvlText w:val=""/>
      <w:lvlJc w:val="left"/>
    </w:lvl>
    <w:lvl w:ilvl="8" w:tplc="0A12B13C">
      <w:numFmt w:val="decimal"/>
      <w:lvlText w:val=""/>
      <w:lvlJc w:val="left"/>
    </w:lvl>
  </w:abstractNum>
  <w:abstractNum w:abstractNumId="41" w15:restartNumberingAfterBreak="0">
    <w:nsid w:val="385A08A5"/>
    <w:multiLevelType w:val="hybridMultilevel"/>
    <w:tmpl w:val="A4A00068"/>
    <w:lvl w:ilvl="0" w:tplc="F446DCCC">
      <w:start w:val="1"/>
      <w:numFmt w:val="bullet"/>
      <w:lvlText w:val=""/>
      <w:lvlJc w:val="left"/>
      <w:pPr>
        <w:tabs>
          <w:tab w:val="num" w:pos="900"/>
        </w:tabs>
        <w:ind w:left="540" w:hanging="360"/>
      </w:pPr>
      <w:rPr>
        <w:rFonts w:ascii="Symbol" w:hAnsi="Symbol" w:hint="default"/>
      </w:rPr>
    </w:lvl>
    <w:lvl w:ilvl="1" w:tplc="38186420">
      <w:numFmt w:val="decimal"/>
      <w:lvlText w:val=""/>
      <w:lvlJc w:val="left"/>
    </w:lvl>
    <w:lvl w:ilvl="2" w:tplc="9F26EA42">
      <w:numFmt w:val="decimal"/>
      <w:lvlText w:val=""/>
      <w:lvlJc w:val="left"/>
    </w:lvl>
    <w:lvl w:ilvl="3" w:tplc="9B522774">
      <w:numFmt w:val="decimal"/>
      <w:lvlText w:val=""/>
      <w:lvlJc w:val="left"/>
    </w:lvl>
    <w:lvl w:ilvl="4" w:tplc="E690A02A">
      <w:numFmt w:val="decimal"/>
      <w:lvlText w:val=""/>
      <w:lvlJc w:val="left"/>
    </w:lvl>
    <w:lvl w:ilvl="5" w:tplc="0CAEC49A">
      <w:numFmt w:val="decimal"/>
      <w:lvlText w:val=""/>
      <w:lvlJc w:val="left"/>
    </w:lvl>
    <w:lvl w:ilvl="6" w:tplc="D722AC62">
      <w:numFmt w:val="decimal"/>
      <w:lvlText w:val=""/>
      <w:lvlJc w:val="left"/>
    </w:lvl>
    <w:lvl w:ilvl="7" w:tplc="DB1C3CBC">
      <w:numFmt w:val="decimal"/>
      <w:lvlText w:val=""/>
      <w:lvlJc w:val="left"/>
    </w:lvl>
    <w:lvl w:ilvl="8" w:tplc="5B205660">
      <w:numFmt w:val="decimal"/>
      <w:lvlText w:val=""/>
      <w:lvlJc w:val="left"/>
    </w:lvl>
  </w:abstractNum>
  <w:abstractNum w:abstractNumId="42" w15:restartNumberingAfterBreak="0">
    <w:nsid w:val="3B503E6A"/>
    <w:multiLevelType w:val="hybridMultilevel"/>
    <w:tmpl w:val="3E08259E"/>
    <w:lvl w:ilvl="0" w:tplc="66C862AE">
      <w:start w:val="1"/>
      <w:numFmt w:val="bullet"/>
      <w:lvlText w:val=""/>
      <w:lvlJc w:val="left"/>
      <w:pPr>
        <w:tabs>
          <w:tab w:val="num" w:pos="900"/>
        </w:tabs>
        <w:ind w:left="540" w:hanging="360"/>
      </w:pPr>
      <w:rPr>
        <w:rFonts w:ascii="Symbol" w:hAnsi="Symbol" w:hint="default"/>
      </w:rPr>
    </w:lvl>
    <w:lvl w:ilvl="1" w:tplc="0DF2536E">
      <w:numFmt w:val="decimal"/>
      <w:lvlText w:val=""/>
      <w:lvlJc w:val="left"/>
    </w:lvl>
    <w:lvl w:ilvl="2" w:tplc="FF96A756">
      <w:numFmt w:val="decimal"/>
      <w:lvlText w:val=""/>
      <w:lvlJc w:val="left"/>
    </w:lvl>
    <w:lvl w:ilvl="3" w:tplc="0ED8BD3E">
      <w:numFmt w:val="decimal"/>
      <w:lvlText w:val=""/>
      <w:lvlJc w:val="left"/>
    </w:lvl>
    <w:lvl w:ilvl="4" w:tplc="6AF019E8">
      <w:numFmt w:val="decimal"/>
      <w:lvlText w:val=""/>
      <w:lvlJc w:val="left"/>
    </w:lvl>
    <w:lvl w:ilvl="5" w:tplc="2D94DB96">
      <w:numFmt w:val="decimal"/>
      <w:lvlText w:val=""/>
      <w:lvlJc w:val="left"/>
    </w:lvl>
    <w:lvl w:ilvl="6" w:tplc="9BA45654">
      <w:numFmt w:val="decimal"/>
      <w:lvlText w:val=""/>
      <w:lvlJc w:val="left"/>
    </w:lvl>
    <w:lvl w:ilvl="7" w:tplc="34C6DFC2">
      <w:numFmt w:val="decimal"/>
      <w:lvlText w:val=""/>
      <w:lvlJc w:val="left"/>
    </w:lvl>
    <w:lvl w:ilvl="8" w:tplc="CD18A776">
      <w:numFmt w:val="decimal"/>
      <w:lvlText w:val=""/>
      <w:lvlJc w:val="left"/>
    </w:lvl>
  </w:abstractNum>
  <w:abstractNum w:abstractNumId="43" w15:restartNumberingAfterBreak="0">
    <w:nsid w:val="3BDC2E1E"/>
    <w:multiLevelType w:val="hybridMultilevel"/>
    <w:tmpl w:val="E8B29E00"/>
    <w:lvl w:ilvl="0" w:tplc="DB18D20C">
      <w:start w:val="1"/>
      <w:numFmt w:val="bullet"/>
      <w:lvlText w:val=""/>
      <w:lvlJc w:val="left"/>
      <w:pPr>
        <w:tabs>
          <w:tab w:val="num" w:pos="900"/>
        </w:tabs>
        <w:ind w:left="540" w:hanging="360"/>
      </w:pPr>
      <w:rPr>
        <w:rFonts w:ascii="Symbol" w:hAnsi="Symbol" w:hint="default"/>
      </w:rPr>
    </w:lvl>
    <w:lvl w:ilvl="1" w:tplc="C3367F8E">
      <w:numFmt w:val="decimal"/>
      <w:lvlText w:val=""/>
      <w:lvlJc w:val="left"/>
    </w:lvl>
    <w:lvl w:ilvl="2" w:tplc="0F34A256">
      <w:numFmt w:val="decimal"/>
      <w:lvlText w:val=""/>
      <w:lvlJc w:val="left"/>
    </w:lvl>
    <w:lvl w:ilvl="3" w:tplc="5E04410A">
      <w:numFmt w:val="decimal"/>
      <w:lvlText w:val=""/>
      <w:lvlJc w:val="left"/>
    </w:lvl>
    <w:lvl w:ilvl="4" w:tplc="867E131C">
      <w:numFmt w:val="decimal"/>
      <w:lvlText w:val=""/>
      <w:lvlJc w:val="left"/>
    </w:lvl>
    <w:lvl w:ilvl="5" w:tplc="6E74BC04">
      <w:numFmt w:val="decimal"/>
      <w:lvlText w:val=""/>
      <w:lvlJc w:val="left"/>
    </w:lvl>
    <w:lvl w:ilvl="6" w:tplc="72B03386">
      <w:numFmt w:val="decimal"/>
      <w:lvlText w:val=""/>
      <w:lvlJc w:val="left"/>
    </w:lvl>
    <w:lvl w:ilvl="7" w:tplc="2C38C7DE">
      <w:numFmt w:val="decimal"/>
      <w:lvlText w:val=""/>
      <w:lvlJc w:val="left"/>
    </w:lvl>
    <w:lvl w:ilvl="8" w:tplc="09347208">
      <w:numFmt w:val="decimal"/>
      <w:lvlText w:val=""/>
      <w:lvlJc w:val="left"/>
    </w:lvl>
  </w:abstractNum>
  <w:abstractNum w:abstractNumId="44" w15:restartNumberingAfterBreak="0">
    <w:nsid w:val="3D8F5B11"/>
    <w:multiLevelType w:val="hybridMultilevel"/>
    <w:tmpl w:val="C002BD24"/>
    <w:lvl w:ilvl="0" w:tplc="A17EFAFA">
      <w:start w:val="1"/>
      <w:numFmt w:val="bullet"/>
      <w:lvlText w:val=""/>
      <w:lvlJc w:val="left"/>
      <w:pPr>
        <w:tabs>
          <w:tab w:val="num" w:pos="900"/>
        </w:tabs>
        <w:ind w:left="540" w:hanging="360"/>
      </w:pPr>
      <w:rPr>
        <w:rFonts w:ascii="Symbol" w:hAnsi="Symbol" w:hint="default"/>
      </w:rPr>
    </w:lvl>
    <w:lvl w:ilvl="1" w:tplc="FDB8234E">
      <w:numFmt w:val="decimal"/>
      <w:lvlText w:val=""/>
      <w:lvlJc w:val="left"/>
    </w:lvl>
    <w:lvl w:ilvl="2" w:tplc="C662206A">
      <w:numFmt w:val="decimal"/>
      <w:lvlText w:val=""/>
      <w:lvlJc w:val="left"/>
    </w:lvl>
    <w:lvl w:ilvl="3" w:tplc="012AE2C8">
      <w:numFmt w:val="decimal"/>
      <w:lvlText w:val=""/>
      <w:lvlJc w:val="left"/>
    </w:lvl>
    <w:lvl w:ilvl="4" w:tplc="913C4FAE">
      <w:numFmt w:val="decimal"/>
      <w:lvlText w:val=""/>
      <w:lvlJc w:val="left"/>
    </w:lvl>
    <w:lvl w:ilvl="5" w:tplc="2AEC0B98">
      <w:numFmt w:val="decimal"/>
      <w:lvlText w:val=""/>
      <w:lvlJc w:val="left"/>
    </w:lvl>
    <w:lvl w:ilvl="6" w:tplc="21F2AC26">
      <w:numFmt w:val="decimal"/>
      <w:lvlText w:val=""/>
      <w:lvlJc w:val="left"/>
    </w:lvl>
    <w:lvl w:ilvl="7" w:tplc="BC0E057E">
      <w:numFmt w:val="decimal"/>
      <w:lvlText w:val=""/>
      <w:lvlJc w:val="left"/>
    </w:lvl>
    <w:lvl w:ilvl="8" w:tplc="1DE8C0E0">
      <w:numFmt w:val="decimal"/>
      <w:lvlText w:val=""/>
      <w:lvlJc w:val="left"/>
    </w:lvl>
  </w:abstractNum>
  <w:abstractNum w:abstractNumId="45" w15:restartNumberingAfterBreak="0">
    <w:nsid w:val="3D924C0E"/>
    <w:multiLevelType w:val="hybridMultilevel"/>
    <w:tmpl w:val="0F2079C8"/>
    <w:lvl w:ilvl="0" w:tplc="5B7E7E56">
      <w:start w:val="1"/>
      <w:numFmt w:val="bullet"/>
      <w:lvlText w:val=""/>
      <w:lvlJc w:val="left"/>
      <w:pPr>
        <w:tabs>
          <w:tab w:val="num" w:pos="900"/>
        </w:tabs>
        <w:ind w:left="540" w:hanging="360"/>
      </w:pPr>
      <w:rPr>
        <w:rFonts w:ascii="Symbol" w:hAnsi="Symbol" w:hint="default"/>
      </w:rPr>
    </w:lvl>
    <w:lvl w:ilvl="1" w:tplc="073847D4">
      <w:numFmt w:val="decimal"/>
      <w:lvlText w:val=""/>
      <w:lvlJc w:val="left"/>
    </w:lvl>
    <w:lvl w:ilvl="2" w:tplc="24CE45E4">
      <w:numFmt w:val="decimal"/>
      <w:lvlText w:val=""/>
      <w:lvlJc w:val="left"/>
    </w:lvl>
    <w:lvl w:ilvl="3" w:tplc="9A122150">
      <w:numFmt w:val="decimal"/>
      <w:lvlText w:val=""/>
      <w:lvlJc w:val="left"/>
    </w:lvl>
    <w:lvl w:ilvl="4" w:tplc="422016F8">
      <w:numFmt w:val="decimal"/>
      <w:lvlText w:val=""/>
      <w:lvlJc w:val="left"/>
    </w:lvl>
    <w:lvl w:ilvl="5" w:tplc="AFA4CE98">
      <w:numFmt w:val="decimal"/>
      <w:lvlText w:val=""/>
      <w:lvlJc w:val="left"/>
    </w:lvl>
    <w:lvl w:ilvl="6" w:tplc="4092772A">
      <w:numFmt w:val="decimal"/>
      <w:lvlText w:val=""/>
      <w:lvlJc w:val="left"/>
    </w:lvl>
    <w:lvl w:ilvl="7" w:tplc="1856F304">
      <w:numFmt w:val="decimal"/>
      <w:lvlText w:val=""/>
      <w:lvlJc w:val="left"/>
    </w:lvl>
    <w:lvl w:ilvl="8" w:tplc="69FA2DB4">
      <w:numFmt w:val="decimal"/>
      <w:lvlText w:val=""/>
      <w:lvlJc w:val="left"/>
    </w:lvl>
  </w:abstractNum>
  <w:abstractNum w:abstractNumId="46" w15:restartNumberingAfterBreak="0">
    <w:nsid w:val="3E3716B5"/>
    <w:multiLevelType w:val="hybridMultilevel"/>
    <w:tmpl w:val="B8B802E8"/>
    <w:lvl w:ilvl="0" w:tplc="D30C0CA2">
      <w:start w:val="1"/>
      <w:numFmt w:val="bullet"/>
      <w:lvlText w:val=""/>
      <w:lvlJc w:val="left"/>
      <w:pPr>
        <w:tabs>
          <w:tab w:val="num" w:pos="900"/>
        </w:tabs>
        <w:ind w:left="540" w:hanging="360"/>
      </w:pPr>
      <w:rPr>
        <w:rFonts w:ascii="Symbol" w:hAnsi="Symbol" w:hint="default"/>
      </w:rPr>
    </w:lvl>
    <w:lvl w:ilvl="1" w:tplc="07021E18">
      <w:numFmt w:val="decimal"/>
      <w:lvlText w:val=""/>
      <w:lvlJc w:val="left"/>
    </w:lvl>
    <w:lvl w:ilvl="2" w:tplc="F84AB748">
      <w:numFmt w:val="decimal"/>
      <w:lvlText w:val=""/>
      <w:lvlJc w:val="left"/>
    </w:lvl>
    <w:lvl w:ilvl="3" w:tplc="D69EFB80">
      <w:numFmt w:val="decimal"/>
      <w:lvlText w:val=""/>
      <w:lvlJc w:val="left"/>
    </w:lvl>
    <w:lvl w:ilvl="4" w:tplc="0A6E952A">
      <w:numFmt w:val="decimal"/>
      <w:lvlText w:val=""/>
      <w:lvlJc w:val="left"/>
    </w:lvl>
    <w:lvl w:ilvl="5" w:tplc="0302D108">
      <w:numFmt w:val="decimal"/>
      <w:lvlText w:val=""/>
      <w:lvlJc w:val="left"/>
    </w:lvl>
    <w:lvl w:ilvl="6" w:tplc="D90666DC">
      <w:numFmt w:val="decimal"/>
      <w:lvlText w:val=""/>
      <w:lvlJc w:val="left"/>
    </w:lvl>
    <w:lvl w:ilvl="7" w:tplc="5E403F2C">
      <w:numFmt w:val="decimal"/>
      <w:lvlText w:val=""/>
      <w:lvlJc w:val="left"/>
    </w:lvl>
    <w:lvl w:ilvl="8" w:tplc="F01E5AC8">
      <w:numFmt w:val="decimal"/>
      <w:lvlText w:val=""/>
      <w:lvlJc w:val="left"/>
    </w:lvl>
  </w:abstractNum>
  <w:abstractNum w:abstractNumId="47" w15:restartNumberingAfterBreak="0">
    <w:nsid w:val="41CF71E5"/>
    <w:multiLevelType w:val="hybridMultilevel"/>
    <w:tmpl w:val="72EE6FBA"/>
    <w:lvl w:ilvl="0" w:tplc="CD6C410A">
      <w:start w:val="1"/>
      <w:numFmt w:val="bullet"/>
      <w:lvlText w:val=""/>
      <w:lvlJc w:val="left"/>
      <w:pPr>
        <w:tabs>
          <w:tab w:val="num" w:pos="900"/>
        </w:tabs>
        <w:ind w:left="540" w:hanging="360"/>
      </w:pPr>
      <w:rPr>
        <w:rFonts w:ascii="Symbol" w:hAnsi="Symbol" w:hint="default"/>
      </w:rPr>
    </w:lvl>
    <w:lvl w:ilvl="1" w:tplc="A5BA41D2">
      <w:numFmt w:val="decimal"/>
      <w:lvlText w:val=""/>
      <w:lvlJc w:val="left"/>
    </w:lvl>
    <w:lvl w:ilvl="2" w:tplc="911ED7A8">
      <w:numFmt w:val="decimal"/>
      <w:lvlText w:val=""/>
      <w:lvlJc w:val="left"/>
    </w:lvl>
    <w:lvl w:ilvl="3" w:tplc="D1343B10">
      <w:numFmt w:val="decimal"/>
      <w:lvlText w:val=""/>
      <w:lvlJc w:val="left"/>
    </w:lvl>
    <w:lvl w:ilvl="4" w:tplc="4422461A">
      <w:numFmt w:val="decimal"/>
      <w:lvlText w:val=""/>
      <w:lvlJc w:val="left"/>
    </w:lvl>
    <w:lvl w:ilvl="5" w:tplc="D846ADD2">
      <w:numFmt w:val="decimal"/>
      <w:lvlText w:val=""/>
      <w:lvlJc w:val="left"/>
    </w:lvl>
    <w:lvl w:ilvl="6" w:tplc="BD40C158">
      <w:numFmt w:val="decimal"/>
      <w:lvlText w:val=""/>
      <w:lvlJc w:val="left"/>
    </w:lvl>
    <w:lvl w:ilvl="7" w:tplc="EF8C749E">
      <w:numFmt w:val="decimal"/>
      <w:lvlText w:val=""/>
      <w:lvlJc w:val="left"/>
    </w:lvl>
    <w:lvl w:ilvl="8" w:tplc="4B489474">
      <w:numFmt w:val="decimal"/>
      <w:lvlText w:val=""/>
      <w:lvlJc w:val="left"/>
    </w:lvl>
  </w:abstractNum>
  <w:abstractNum w:abstractNumId="48" w15:restartNumberingAfterBreak="0">
    <w:nsid w:val="42AD18BF"/>
    <w:multiLevelType w:val="hybridMultilevel"/>
    <w:tmpl w:val="14B0FBD6"/>
    <w:lvl w:ilvl="0" w:tplc="F45CFA7A">
      <w:start w:val="1"/>
      <w:numFmt w:val="bullet"/>
      <w:lvlText w:val=""/>
      <w:lvlJc w:val="left"/>
      <w:pPr>
        <w:tabs>
          <w:tab w:val="num" w:pos="900"/>
        </w:tabs>
        <w:ind w:left="540" w:hanging="360"/>
      </w:pPr>
      <w:rPr>
        <w:rFonts w:ascii="Symbol" w:hAnsi="Symbol" w:hint="default"/>
      </w:rPr>
    </w:lvl>
    <w:lvl w:ilvl="1" w:tplc="BF02495E">
      <w:numFmt w:val="decimal"/>
      <w:lvlText w:val=""/>
      <w:lvlJc w:val="left"/>
    </w:lvl>
    <w:lvl w:ilvl="2" w:tplc="1714C120">
      <w:numFmt w:val="decimal"/>
      <w:lvlText w:val=""/>
      <w:lvlJc w:val="left"/>
    </w:lvl>
    <w:lvl w:ilvl="3" w:tplc="A0BE1BF0">
      <w:numFmt w:val="decimal"/>
      <w:lvlText w:val=""/>
      <w:lvlJc w:val="left"/>
    </w:lvl>
    <w:lvl w:ilvl="4" w:tplc="35820C64">
      <w:numFmt w:val="decimal"/>
      <w:lvlText w:val=""/>
      <w:lvlJc w:val="left"/>
    </w:lvl>
    <w:lvl w:ilvl="5" w:tplc="B1DAAC88">
      <w:numFmt w:val="decimal"/>
      <w:lvlText w:val=""/>
      <w:lvlJc w:val="left"/>
    </w:lvl>
    <w:lvl w:ilvl="6" w:tplc="85742F9C">
      <w:numFmt w:val="decimal"/>
      <w:lvlText w:val=""/>
      <w:lvlJc w:val="left"/>
    </w:lvl>
    <w:lvl w:ilvl="7" w:tplc="D124D016">
      <w:numFmt w:val="decimal"/>
      <w:lvlText w:val=""/>
      <w:lvlJc w:val="left"/>
    </w:lvl>
    <w:lvl w:ilvl="8" w:tplc="8B4A0B52">
      <w:numFmt w:val="decimal"/>
      <w:lvlText w:val=""/>
      <w:lvlJc w:val="left"/>
    </w:lvl>
  </w:abstractNum>
  <w:abstractNum w:abstractNumId="49" w15:restartNumberingAfterBreak="0">
    <w:nsid w:val="42CD7FCE"/>
    <w:multiLevelType w:val="hybridMultilevel"/>
    <w:tmpl w:val="C982326E"/>
    <w:lvl w:ilvl="0" w:tplc="1C10007E">
      <w:start w:val="1"/>
      <w:numFmt w:val="bullet"/>
      <w:lvlText w:val=""/>
      <w:lvlJc w:val="left"/>
      <w:pPr>
        <w:tabs>
          <w:tab w:val="num" w:pos="900"/>
        </w:tabs>
        <w:ind w:left="540" w:hanging="360"/>
      </w:pPr>
      <w:rPr>
        <w:rFonts w:ascii="Symbol" w:hAnsi="Symbol" w:hint="default"/>
      </w:rPr>
    </w:lvl>
    <w:lvl w:ilvl="1" w:tplc="46C8CE96">
      <w:numFmt w:val="decimal"/>
      <w:lvlText w:val=""/>
      <w:lvlJc w:val="left"/>
    </w:lvl>
    <w:lvl w:ilvl="2" w:tplc="D29E7EDE">
      <w:numFmt w:val="decimal"/>
      <w:lvlText w:val=""/>
      <w:lvlJc w:val="left"/>
    </w:lvl>
    <w:lvl w:ilvl="3" w:tplc="A0685CA2">
      <w:numFmt w:val="decimal"/>
      <w:lvlText w:val=""/>
      <w:lvlJc w:val="left"/>
    </w:lvl>
    <w:lvl w:ilvl="4" w:tplc="2B4C635C">
      <w:numFmt w:val="decimal"/>
      <w:lvlText w:val=""/>
      <w:lvlJc w:val="left"/>
    </w:lvl>
    <w:lvl w:ilvl="5" w:tplc="4CEA4002">
      <w:numFmt w:val="decimal"/>
      <w:lvlText w:val=""/>
      <w:lvlJc w:val="left"/>
    </w:lvl>
    <w:lvl w:ilvl="6" w:tplc="03682414">
      <w:numFmt w:val="decimal"/>
      <w:lvlText w:val=""/>
      <w:lvlJc w:val="left"/>
    </w:lvl>
    <w:lvl w:ilvl="7" w:tplc="583ECCCC">
      <w:numFmt w:val="decimal"/>
      <w:lvlText w:val=""/>
      <w:lvlJc w:val="left"/>
    </w:lvl>
    <w:lvl w:ilvl="8" w:tplc="4EC68238">
      <w:numFmt w:val="decimal"/>
      <w:lvlText w:val=""/>
      <w:lvlJc w:val="left"/>
    </w:lvl>
  </w:abstractNum>
  <w:abstractNum w:abstractNumId="50" w15:restartNumberingAfterBreak="0">
    <w:nsid w:val="484B264A"/>
    <w:multiLevelType w:val="hybridMultilevel"/>
    <w:tmpl w:val="59EE6D44"/>
    <w:lvl w:ilvl="0" w:tplc="5CB022C8">
      <w:start w:val="1"/>
      <w:numFmt w:val="bullet"/>
      <w:lvlText w:val=""/>
      <w:lvlJc w:val="left"/>
      <w:pPr>
        <w:tabs>
          <w:tab w:val="num" w:pos="900"/>
        </w:tabs>
        <w:ind w:left="540" w:hanging="360"/>
      </w:pPr>
      <w:rPr>
        <w:rFonts w:ascii="Symbol" w:hAnsi="Symbol" w:hint="default"/>
      </w:rPr>
    </w:lvl>
    <w:lvl w:ilvl="1" w:tplc="A6E65E7E">
      <w:numFmt w:val="decimal"/>
      <w:lvlText w:val=""/>
      <w:lvlJc w:val="left"/>
    </w:lvl>
    <w:lvl w:ilvl="2" w:tplc="9424A0CE">
      <w:numFmt w:val="decimal"/>
      <w:lvlText w:val=""/>
      <w:lvlJc w:val="left"/>
    </w:lvl>
    <w:lvl w:ilvl="3" w:tplc="871E0550">
      <w:numFmt w:val="decimal"/>
      <w:lvlText w:val=""/>
      <w:lvlJc w:val="left"/>
    </w:lvl>
    <w:lvl w:ilvl="4" w:tplc="25720FA6">
      <w:numFmt w:val="decimal"/>
      <w:lvlText w:val=""/>
      <w:lvlJc w:val="left"/>
    </w:lvl>
    <w:lvl w:ilvl="5" w:tplc="CCBCC148">
      <w:numFmt w:val="decimal"/>
      <w:lvlText w:val=""/>
      <w:lvlJc w:val="left"/>
    </w:lvl>
    <w:lvl w:ilvl="6" w:tplc="A20409DE">
      <w:numFmt w:val="decimal"/>
      <w:lvlText w:val=""/>
      <w:lvlJc w:val="left"/>
    </w:lvl>
    <w:lvl w:ilvl="7" w:tplc="EE6064CC">
      <w:numFmt w:val="decimal"/>
      <w:lvlText w:val=""/>
      <w:lvlJc w:val="left"/>
    </w:lvl>
    <w:lvl w:ilvl="8" w:tplc="5150D886">
      <w:numFmt w:val="decimal"/>
      <w:lvlText w:val=""/>
      <w:lvlJc w:val="left"/>
    </w:lvl>
  </w:abstractNum>
  <w:abstractNum w:abstractNumId="51" w15:restartNumberingAfterBreak="0">
    <w:nsid w:val="48BE634A"/>
    <w:multiLevelType w:val="hybridMultilevel"/>
    <w:tmpl w:val="C01ECA96"/>
    <w:lvl w:ilvl="0" w:tplc="779889CC">
      <w:start w:val="1"/>
      <w:numFmt w:val="bullet"/>
      <w:lvlText w:val=""/>
      <w:lvlJc w:val="left"/>
      <w:pPr>
        <w:tabs>
          <w:tab w:val="num" w:pos="900"/>
        </w:tabs>
        <w:ind w:left="540" w:hanging="360"/>
      </w:pPr>
      <w:rPr>
        <w:rFonts w:ascii="Symbol" w:hAnsi="Symbol" w:hint="default"/>
      </w:rPr>
    </w:lvl>
    <w:lvl w:ilvl="1" w:tplc="C5C84106">
      <w:numFmt w:val="decimal"/>
      <w:lvlText w:val=""/>
      <w:lvlJc w:val="left"/>
    </w:lvl>
    <w:lvl w:ilvl="2" w:tplc="115684C0">
      <w:numFmt w:val="decimal"/>
      <w:lvlText w:val=""/>
      <w:lvlJc w:val="left"/>
    </w:lvl>
    <w:lvl w:ilvl="3" w:tplc="2102A6AE">
      <w:numFmt w:val="decimal"/>
      <w:lvlText w:val=""/>
      <w:lvlJc w:val="left"/>
    </w:lvl>
    <w:lvl w:ilvl="4" w:tplc="C9460E02">
      <w:numFmt w:val="decimal"/>
      <w:lvlText w:val=""/>
      <w:lvlJc w:val="left"/>
    </w:lvl>
    <w:lvl w:ilvl="5" w:tplc="C4EE74EA">
      <w:numFmt w:val="decimal"/>
      <w:lvlText w:val=""/>
      <w:lvlJc w:val="left"/>
    </w:lvl>
    <w:lvl w:ilvl="6" w:tplc="975AFA86">
      <w:numFmt w:val="decimal"/>
      <w:lvlText w:val=""/>
      <w:lvlJc w:val="left"/>
    </w:lvl>
    <w:lvl w:ilvl="7" w:tplc="680023FE">
      <w:numFmt w:val="decimal"/>
      <w:lvlText w:val=""/>
      <w:lvlJc w:val="left"/>
    </w:lvl>
    <w:lvl w:ilvl="8" w:tplc="371C7570">
      <w:numFmt w:val="decimal"/>
      <w:lvlText w:val=""/>
      <w:lvlJc w:val="left"/>
    </w:lvl>
  </w:abstractNum>
  <w:abstractNum w:abstractNumId="52" w15:restartNumberingAfterBreak="0">
    <w:nsid w:val="4C2025BE"/>
    <w:multiLevelType w:val="hybridMultilevel"/>
    <w:tmpl w:val="419ECBAE"/>
    <w:lvl w:ilvl="0" w:tplc="7040AEF6">
      <w:start w:val="1"/>
      <w:numFmt w:val="bullet"/>
      <w:lvlText w:val=""/>
      <w:lvlJc w:val="left"/>
      <w:pPr>
        <w:tabs>
          <w:tab w:val="num" w:pos="900"/>
        </w:tabs>
        <w:ind w:left="540" w:hanging="360"/>
      </w:pPr>
      <w:rPr>
        <w:rFonts w:ascii="Symbol" w:hAnsi="Symbol" w:hint="default"/>
      </w:rPr>
    </w:lvl>
    <w:lvl w:ilvl="1" w:tplc="C49AD614">
      <w:numFmt w:val="decimal"/>
      <w:lvlText w:val=""/>
      <w:lvlJc w:val="left"/>
    </w:lvl>
    <w:lvl w:ilvl="2" w:tplc="7756B488">
      <w:numFmt w:val="decimal"/>
      <w:lvlText w:val=""/>
      <w:lvlJc w:val="left"/>
    </w:lvl>
    <w:lvl w:ilvl="3" w:tplc="5686CAD4">
      <w:numFmt w:val="decimal"/>
      <w:lvlText w:val=""/>
      <w:lvlJc w:val="left"/>
    </w:lvl>
    <w:lvl w:ilvl="4" w:tplc="DC3221E4">
      <w:numFmt w:val="decimal"/>
      <w:lvlText w:val=""/>
      <w:lvlJc w:val="left"/>
    </w:lvl>
    <w:lvl w:ilvl="5" w:tplc="99EC6626">
      <w:numFmt w:val="decimal"/>
      <w:lvlText w:val=""/>
      <w:lvlJc w:val="left"/>
    </w:lvl>
    <w:lvl w:ilvl="6" w:tplc="47A60AAA">
      <w:numFmt w:val="decimal"/>
      <w:lvlText w:val=""/>
      <w:lvlJc w:val="left"/>
    </w:lvl>
    <w:lvl w:ilvl="7" w:tplc="5934835A">
      <w:numFmt w:val="decimal"/>
      <w:lvlText w:val=""/>
      <w:lvlJc w:val="left"/>
    </w:lvl>
    <w:lvl w:ilvl="8" w:tplc="B5B8D162">
      <w:numFmt w:val="decimal"/>
      <w:lvlText w:val=""/>
      <w:lvlJc w:val="left"/>
    </w:lvl>
  </w:abstractNum>
  <w:abstractNum w:abstractNumId="53" w15:restartNumberingAfterBreak="0">
    <w:nsid w:val="4D1A1979"/>
    <w:multiLevelType w:val="hybridMultilevel"/>
    <w:tmpl w:val="FF586408"/>
    <w:lvl w:ilvl="0" w:tplc="DE18E65C">
      <w:start w:val="1"/>
      <w:numFmt w:val="bullet"/>
      <w:lvlText w:val=""/>
      <w:lvlJc w:val="left"/>
      <w:pPr>
        <w:tabs>
          <w:tab w:val="num" w:pos="900"/>
        </w:tabs>
        <w:ind w:left="540" w:hanging="360"/>
      </w:pPr>
      <w:rPr>
        <w:rFonts w:ascii="Symbol" w:hAnsi="Symbol" w:hint="default"/>
      </w:rPr>
    </w:lvl>
    <w:lvl w:ilvl="1" w:tplc="D7D223B2">
      <w:numFmt w:val="decimal"/>
      <w:lvlText w:val=""/>
      <w:lvlJc w:val="left"/>
    </w:lvl>
    <w:lvl w:ilvl="2" w:tplc="B5DA24D2">
      <w:numFmt w:val="decimal"/>
      <w:lvlText w:val=""/>
      <w:lvlJc w:val="left"/>
    </w:lvl>
    <w:lvl w:ilvl="3" w:tplc="F9E21232">
      <w:numFmt w:val="decimal"/>
      <w:lvlText w:val=""/>
      <w:lvlJc w:val="left"/>
    </w:lvl>
    <w:lvl w:ilvl="4" w:tplc="676ABBF0">
      <w:numFmt w:val="decimal"/>
      <w:lvlText w:val=""/>
      <w:lvlJc w:val="left"/>
    </w:lvl>
    <w:lvl w:ilvl="5" w:tplc="6B2E2300">
      <w:numFmt w:val="decimal"/>
      <w:lvlText w:val=""/>
      <w:lvlJc w:val="left"/>
    </w:lvl>
    <w:lvl w:ilvl="6" w:tplc="2D3487E8">
      <w:numFmt w:val="decimal"/>
      <w:lvlText w:val=""/>
      <w:lvlJc w:val="left"/>
    </w:lvl>
    <w:lvl w:ilvl="7" w:tplc="41DC274E">
      <w:numFmt w:val="decimal"/>
      <w:lvlText w:val=""/>
      <w:lvlJc w:val="left"/>
    </w:lvl>
    <w:lvl w:ilvl="8" w:tplc="2CD68A04">
      <w:numFmt w:val="decimal"/>
      <w:lvlText w:val=""/>
      <w:lvlJc w:val="left"/>
    </w:lvl>
  </w:abstractNum>
  <w:abstractNum w:abstractNumId="54" w15:restartNumberingAfterBreak="0">
    <w:nsid w:val="4D5A2AEB"/>
    <w:multiLevelType w:val="hybridMultilevel"/>
    <w:tmpl w:val="6B46C836"/>
    <w:lvl w:ilvl="0" w:tplc="73B0A716">
      <w:start w:val="1"/>
      <w:numFmt w:val="bullet"/>
      <w:lvlText w:val=""/>
      <w:lvlJc w:val="left"/>
      <w:pPr>
        <w:tabs>
          <w:tab w:val="num" w:pos="900"/>
        </w:tabs>
        <w:ind w:left="540" w:hanging="360"/>
      </w:pPr>
      <w:rPr>
        <w:rFonts w:ascii="Symbol" w:hAnsi="Symbol" w:hint="default"/>
      </w:rPr>
    </w:lvl>
    <w:lvl w:ilvl="1" w:tplc="834A2C1C">
      <w:numFmt w:val="decimal"/>
      <w:lvlText w:val=""/>
      <w:lvlJc w:val="left"/>
    </w:lvl>
    <w:lvl w:ilvl="2" w:tplc="ADD69938">
      <w:numFmt w:val="decimal"/>
      <w:lvlText w:val=""/>
      <w:lvlJc w:val="left"/>
    </w:lvl>
    <w:lvl w:ilvl="3" w:tplc="A6F6D77C">
      <w:numFmt w:val="decimal"/>
      <w:lvlText w:val=""/>
      <w:lvlJc w:val="left"/>
    </w:lvl>
    <w:lvl w:ilvl="4" w:tplc="373667B6">
      <w:numFmt w:val="decimal"/>
      <w:lvlText w:val=""/>
      <w:lvlJc w:val="left"/>
    </w:lvl>
    <w:lvl w:ilvl="5" w:tplc="3CAAAF0C">
      <w:numFmt w:val="decimal"/>
      <w:lvlText w:val=""/>
      <w:lvlJc w:val="left"/>
    </w:lvl>
    <w:lvl w:ilvl="6" w:tplc="D8A0FEF4">
      <w:numFmt w:val="decimal"/>
      <w:lvlText w:val=""/>
      <w:lvlJc w:val="left"/>
    </w:lvl>
    <w:lvl w:ilvl="7" w:tplc="8BB6469E">
      <w:numFmt w:val="decimal"/>
      <w:lvlText w:val=""/>
      <w:lvlJc w:val="left"/>
    </w:lvl>
    <w:lvl w:ilvl="8" w:tplc="A15E01AA">
      <w:numFmt w:val="decimal"/>
      <w:lvlText w:val=""/>
      <w:lvlJc w:val="left"/>
    </w:lvl>
  </w:abstractNum>
  <w:abstractNum w:abstractNumId="55" w15:restartNumberingAfterBreak="0">
    <w:nsid w:val="4E8C17B1"/>
    <w:multiLevelType w:val="hybridMultilevel"/>
    <w:tmpl w:val="14685F36"/>
    <w:lvl w:ilvl="0" w:tplc="231A0C54">
      <w:start w:val="1"/>
      <w:numFmt w:val="bullet"/>
      <w:lvlText w:val=""/>
      <w:lvlJc w:val="left"/>
      <w:pPr>
        <w:tabs>
          <w:tab w:val="num" w:pos="900"/>
        </w:tabs>
        <w:ind w:left="540" w:hanging="360"/>
      </w:pPr>
      <w:rPr>
        <w:rFonts w:ascii="Symbol" w:hAnsi="Symbol" w:hint="default"/>
      </w:rPr>
    </w:lvl>
    <w:lvl w:ilvl="1" w:tplc="2DCAFD88">
      <w:numFmt w:val="decimal"/>
      <w:lvlText w:val=""/>
      <w:lvlJc w:val="left"/>
    </w:lvl>
    <w:lvl w:ilvl="2" w:tplc="DCFC514A">
      <w:numFmt w:val="decimal"/>
      <w:lvlText w:val=""/>
      <w:lvlJc w:val="left"/>
    </w:lvl>
    <w:lvl w:ilvl="3" w:tplc="DD42B418">
      <w:numFmt w:val="decimal"/>
      <w:lvlText w:val=""/>
      <w:lvlJc w:val="left"/>
    </w:lvl>
    <w:lvl w:ilvl="4" w:tplc="9FDE7484">
      <w:numFmt w:val="decimal"/>
      <w:lvlText w:val=""/>
      <w:lvlJc w:val="left"/>
    </w:lvl>
    <w:lvl w:ilvl="5" w:tplc="6A06090C">
      <w:numFmt w:val="decimal"/>
      <w:lvlText w:val=""/>
      <w:lvlJc w:val="left"/>
    </w:lvl>
    <w:lvl w:ilvl="6" w:tplc="4E8A5720">
      <w:numFmt w:val="decimal"/>
      <w:lvlText w:val=""/>
      <w:lvlJc w:val="left"/>
    </w:lvl>
    <w:lvl w:ilvl="7" w:tplc="D346E316">
      <w:numFmt w:val="decimal"/>
      <w:lvlText w:val=""/>
      <w:lvlJc w:val="left"/>
    </w:lvl>
    <w:lvl w:ilvl="8" w:tplc="3D80A2D6">
      <w:numFmt w:val="decimal"/>
      <w:lvlText w:val=""/>
      <w:lvlJc w:val="left"/>
    </w:lvl>
  </w:abstractNum>
  <w:abstractNum w:abstractNumId="56" w15:restartNumberingAfterBreak="0">
    <w:nsid w:val="50C1545C"/>
    <w:multiLevelType w:val="hybridMultilevel"/>
    <w:tmpl w:val="4FE8C57A"/>
    <w:lvl w:ilvl="0" w:tplc="8604B534">
      <w:start w:val="1"/>
      <w:numFmt w:val="bullet"/>
      <w:lvlText w:val=""/>
      <w:lvlJc w:val="left"/>
      <w:pPr>
        <w:tabs>
          <w:tab w:val="num" w:pos="900"/>
        </w:tabs>
        <w:ind w:left="540" w:hanging="360"/>
      </w:pPr>
      <w:rPr>
        <w:rFonts w:ascii="Symbol" w:hAnsi="Symbol" w:hint="default"/>
      </w:rPr>
    </w:lvl>
    <w:lvl w:ilvl="1" w:tplc="18749588">
      <w:numFmt w:val="decimal"/>
      <w:lvlText w:val=""/>
      <w:lvlJc w:val="left"/>
    </w:lvl>
    <w:lvl w:ilvl="2" w:tplc="E5B0134C">
      <w:numFmt w:val="decimal"/>
      <w:lvlText w:val=""/>
      <w:lvlJc w:val="left"/>
    </w:lvl>
    <w:lvl w:ilvl="3" w:tplc="9AE61926">
      <w:numFmt w:val="decimal"/>
      <w:lvlText w:val=""/>
      <w:lvlJc w:val="left"/>
    </w:lvl>
    <w:lvl w:ilvl="4" w:tplc="3D9E25BC">
      <w:numFmt w:val="decimal"/>
      <w:lvlText w:val=""/>
      <w:lvlJc w:val="left"/>
    </w:lvl>
    <w:lvl w:ilvl="5" w:tplc="169848E8">
      <w:numFmt w:val="decimal"/>
      <w:lvlText w:val=""/>
      <w:lvlJc w:val="left"/>
    </w:lvl>
    <w:lvl w:ilvl="6" w:tplc="4F049F44">
      <w:numFmt w:val="decimal"/>
      <w:lvlText w:val=""/>
      <w:lvlJc w:val="left"/>
    </w:lvl>
    <w:lvl w:ilvl="7" w:tplc="7EA0468A">
      <w:numFmt w:val="decimal"/>
      <w:lvlText w:val=""/>
      <w:lvlJc w:val="left"/>
    </w:lvl>
    <w:lvl w:ilvl="8" w:tplc="AC5E39AA">
      <w:numFmt w:val="decimal"/>
      <w:lvlText w:val=""/>
      <w:lvlJc w:val="left"/>
    </w:lvl>
  </w:abstractNum>
  <w:abstractNum w:abstractNumId="57" w15:restartNumberingAfterBreak="0">
    <w:nsid w:val="531C1A03"/>
    <w:multiLevelType w:val="hybridMultilevel"/>
    <w:tmpl w:val="552E55E6"/>
    <w:lvl w:ilvl="0" w:tplc="BA644514">
      <w:start w:val="1"/>
      <w:numFmt w:val="bullet"/>
      <w:lvlText w:val=""/>
      <w:lvlJc w:val="left"/>
      <w:pPr>
        <w:tabs>
          <w:tab w:val="num" w:pos="900"/>
        </w:tabs>
        <w:ind w:left="540" w:hanging="360"/>
      </w:pPr>
      <w:rPr>
        <w:rFonts w:ascii="Symbol" w:hAnsi="Symbol" w:hint="default"/>
      </w:rPr>
    </w:lvl>
    <w:lvl w:ilvl="1" w:tplc="7DC2E396">
      <w:numFmt w:val="decimal"/>
      <w:lvlText w:val=""/>
      <w:lvlJc w:val="left"/>
    </w:lvl>
    <w:lvl w:ilvl="2" w:tplc="789C640A">
      <w:numFmt w:val="decimal"/>
      <w:lvlText w:val=""/>
      <w:lvlJc w:val="left"/>
    </w:lvl>
    <w:lvl w:ilvl="3" w:tplc="2DB25FA6">
      <w:numFmt w:val="decimal"/>
      <w:lvlText w:val=""/>
      <w:lvlJc w:val="left"/>
    </w:lvl>
    <w:lvl w:ilvl="4" w:tplc="F37A2C3C">
      <w:numFmt w:val="decimal"/>
      <w:lvlText w:val=""/>
      <w:lvlJc w:val="left"/>
    </w:lvl>
    <w:lvl w:ilvl="5" w:tplc="3D5205EE">
      <w:numFmt w:val="decimal"/>
      <w:lvlText w:val=""/>
      <w:lvlJc w:val="left"/>
    </w:lvl>
    <w:lvl w:ilvl="6" w:tplc="EBDAB712">
      <w:numFmt w:val="decimal"/>
      <w:lvlText w:val=""/>
      <w:lvlJc w:val="left"/>
    </w:lvl>
    <w:lvl w:ilvl="7" w:tplc="D9C4E61C">
      <w:numFmt w:val="decimal"/>
      <w:lvlText w:val=""/>
      <w:lvlJc w:val="left"/>
    </w:lvl>
    <w:lvl w:ilvl="8" w:tplc="585C2C02">
      <w:numFmt w:val="decimal"/>
      <w:lvlText w:val=""/>
      <w:lvlJc w:val="left"/>
    </w:lvl>
  </w:abstractNum>
  <w:abstractNum w:abstractNumId="58" w15:restartNumberingAfterBreak="0">
    <w:nsid w:val="542C6060"/>
    <w:multiLevelType w:val="hybridMultilevel"/>
    <w:tmpl w:val="07B0569E"/>
    <w:lvl w:ilvl="0" w:tplc="5E9045D2">
      <w:start w:val="1"/>
      <w:numFmt w:val="bullet"/>
      <w:lvlText w:val=""/>
      <w:lvlJc w:val="left"/>
      <w:pPr>
        <w:tabs>
          <w:tab w:val="num" w:pos="900"/>
        </w:tabs>
        <w:ind w:left="540" w:hanging="360"/>
      </w:pPr>
      <w:rPr>
        <w:rFonts w:ascii="Symbol" w:hAnsi="Symbol" w:hint="default"/>
      </w:rPr>
    </w:lvl>
    <w:lvl w:ilvl="1" w:tplc="F41A26D2">
      <w:numFmt w:val="decimal"/>
      <w:lvlText w:val=""/>
      <w:lvlJc w:val="left"/>
    </w:lvl>
    <w:lvl w:ilvl="2" w:tplc="D2A212FA">
      <w:numFmt w:val="decimal"/>
      <w:lvlText w:val=""/>
      <w:lvlJc w:val="left"/>
    </w:lvl>
    <w:lvl w:ilvl="3" w:tplc="54DE30E8">
      <w:numFmt w:val="decimal"/>
      <w:lvlText w:val=""/>
      <w:lvlJc w:val="left"/>
    </w:lvl>
    <w:lvl w:ilvl="4" w:tplc="7D2224DA">
      <w:numFmt w:val="decimal"/>
      <w:lvlText w:val=""/>
      <w:lvlJc w:val="left"/>
    </w:lvl>
    <w:lvl w:ilvl="5" w:tplc="430456A8">
      <w:numFmt w:val="decimal"/>
      <w:lvlText w:val=""/>
      <w:lvlJc w:val="left"/>
    </w:lvl>
    <w:lvl w:ilvl="6" w:tplc="071C3F44">
      <w:numFmt w:val="decimal"/>
      <w:lvlText w:val=""/>
      <w:lvlJc w:val="left"/>
    </w:lvl>
    <w:lvl w:ilvl="7" w:tplc="A8A8BF56">
      <w:numFmt w:val="decimal"/>
      <w:lvlText w:val=""/>
      <w:lvlJc w:val="left"/>
    </w:lvl>
    <w:lvl w:ilvl="8" w:tplc="C21C4CFA">
      <w:numFmt w:val="decimal"/>
      <w:lvlText w:val=""/>
      <w:lvlJc w:val="left"/>
    </w:lvl>
  </w:abstractNum>
  <w:abstractNum w:abstractNumId="59" w15:restartNumberingAfterBreak="0">
    <w:nsid w:val="55612ABE"/>
    <w:multiLevelType w:val="hybridMultilevel"/>
    <w:tmpl w:val="D59C37FC"/>
    <w:lvl w:ilvl="0" w:tplc="3C783A74">
      <w:start w:val="1"/>
      <w:numFmt w:val="bullet"/>
      <w:lvlText w:val=""/>
      <w:lvlJc w:val="left"/>
      <w:pPr>
        <w:tabs>
          <w:tab w:val="num" w:pos="900"/>
        </w:tabs>
        <w:ind w:left="540" w:hanging="360"/>
      </w:pPr>
      <w:rPr>
        <w:rFonts w:ascii="Symbol" w:hAnsi="Symbol" w:hint="default"/>
      </w:rPr>
    </w:lvl>
    <w:lvl w:ilvl="1" w:tplc="CA8AC850">
      <w:numFmt w:val="decimal"/>
      <w:lvlText w:val=""/>
      <w:lvlJc w:val="left"/>
    </w:lvl>
    <w:lvl w:ilvl="2" w:tplc="48403F24">
      <w:numFmt w:val="decimal"/>
      <w:lvlText w:val=""/>
      <w:lvlJc w:val="left"/>
    </w:lvl>
    <w:lvl w:ilvl="3" w:tplc="AE881096">
      <w:numFmt w:val="decimal"/>
      <w:lvlText w:val=""/>
      <w:lvlJc w:val="left"/>
    </w:lvl>
    <w:lvl w:ilvl="4" w:tplc="A0B8652C">
      <w:numFmt w:val="decimal"/>
      <w:lvlText w:val=""/>
      <w:lvlJc w:val="left"/>
    </w:lvl>
    <w:lvl w:ilvl="5" w:tplc="BA944A18">
      <w:numFmt w:val="decimal"/>
      <w:lvlText w:val=""/>
      <w:lvlJc w:val="left"/>
    </w:lvl>
    <w:lvl w:ilvl="6" w:tplc="11C616CE">
      <w:numFmt w:val="decimal"/>
      <w:lvlText w:val=""/>
      <w:lvlJc w:val="left"/>
    </w:lvl>
    <w:lvl w:ilvl="7" w:tplc="3FE6BF88">
      <w:numFmt w:val="decimal"/>
      <w:lvlText w:val=""/>
      <w:lvlJc w:val="left"/>
    </w:lvl>
    <w:lvl w:ilvl="8" w:tplc="43CA2834">
      <w:numFmt w:val="decimal"/>
      <w:lvlText w:val=""/>
      <w:lvlJc w:val="left"/>
    </w:lvl>
  </w:abstractNum>
  <w:abstractNum w:abstractNumId="60" w15:restartNumberingAfterBreak="0">
    <w:nsid w:val="55F974FC"/>
    <w:multiLevelType w:val="hybridMultilevel"/>
    <w:tmpl w:val="50AAFB6E"/>
    <w:lvl w:ilvl="0" w:tplc="7374A0DC">
      <w:start w:val="1"/>
      <w:numFmt w:val="bullet"/>
      <w:lvlText w:val=""/>
      <w:lvlJc w:val="left"/>
      <w:pPr>
        <w:tabs>
          <w:tab w:val="num" w:pos="900"/>
        </w:tabs>
        <w:ind w:left="540" w:hanging="360"/>
      </w:pPr>
      <w:rPr>
        <w:rFonts w:ascii="Symbol" w:hAnsi="Symbol" w:hint="default"/>
      </w:rPr>
    </w:lvl>
    <w:lvl w:ilvl="1" w:tplc="B2A25DCC">
      <w:numFmt w:val="decimal"/>
      <w:lvlText w:val=""/>
      <w:lvlJc w:val="left"/>
    </w:lvl>
    <w:lvl w:ilvl="2" w:tplc="C2081EA6">
      <w:numFmt w:val="decimal"/>
      <w:lvlText w:val=""/>
      <w:lvlJc w:val="left"/>
    </w:lvl>
    <w:lvl w:ilvl="3" w:tplc="41907F1C">
      <w:numFmt w:val="decimal"/>
      <w:lvlText w:val=""/>
      <w:lvlJc w:val="left"/>
    </w:lvl>
    <w:lvl w:ilvl="4" w:tplc="C0868ED0">
      <w:numFmt w:val="decimal"/>
      <w:lvlText w:val=""/>
      <w:lvlJc w:val="left"/>
    </w:lvl>
    <w:lvl w:ilvl="5" w:tplc="4EA2ECB0">
      <w:numFmt w:val="decimal"/>
      <w:lvlText w:val=""/>
      <w:lvlJc w:val="left"/>
    </w:lvl>
    <w:lvl w:ilvl="6" w:tplc="E22EB696">
      <w:numFmt w:val="decimal"/>
      <w:lvlText w:val=""/>
      <w:lvlJc w:val="left"/>
    </w:lvl>
    <w:lvl w:ilvl="7" w:tplc="3E34DAEE">
      <w:numFmt w:val="decimal"/>
      <w:lvlText w:val=""/>
      <w:lvlJc w:val="left"/>
    </w:lvl>
    <w:lvl w:ilvl="8" w:tplc="6B34383A">
      <w:numFmt w:val="decimal"/>
      <w:lvlText w:val=""/>
      <w:lvlJc w:val="left"/>
    </w:lvl>
  </w:abstractNum>
  <w:abstractNum w:abstractNumId="61" w15:restartNumberingAfterBreak="0">
    <w:nsid w:val="572E59D9"/>
    <w:multiLevelType w:val="hybridMultilevel"/>
    <w:tmpl w:val="5D588A3E"/>
    <w:lvl w:ilvl="0" w:tplc="E0EC6E46">
      <w:start w:val="1"/>
      <w:numFmt w:val="bullet"/>
      <w:lvlText w:val=""/>
      <w:lvlJc w:val="left"/>
      <w:pPr>
        <w:tabs>
          <w:tab w:val="num" w:pos="900"/>
        </w:tabs>
        <w:ind w:left="540" w:hanging="360"/>
      </w:pPr>
      <w:rPr>
        <w:rFonts w:ascii="Symbol" w:hAnsi="Symbol" w:hint="default"/>
      </w:rPr>
    </w:lvl>
    <w:lvl w:ilvl="1" w:tplc="018474C6">
      <w:numFmt w:val="decimal"/>
      <w:lvlText w:val=""/>
      <w:lvlJc w:val="left"/>
    </w:lvl>
    <w:lvl w:ilvl="2" w:tplc="4928F342">
      <w:numFmt w:val="decimal"/>
      <w:lvlText w:val=""/>
      <w:lvlJc w:val="left"/>
    </w:lvl>
    <w:lvl w:ilvl="3" w:tplc="C95ECA18">
      <w:numFmt w:val="decimal"/>
      <w:lvlText w:val=""/>
      <w:lvlJc w:val="left"/>
    </w:lvl>
    <w:lvl w:ilvl="4" w:tplc="A0A8EEA4">
      <w:numFmt w:val="decimal"/>
      <w:lvlText w:val=""/>
      <w:lvlJc w:val="left"/>
    </w:lvl>
    <w:lvl w:ilvl="5" w:tplc="9B767738">
      <w:numFmt w:val="decimal"/>
      <w:lvlText w:val=""/>
      <w:lvlJc w:val="left"/>
    </w:lvl>
    <w:lvl w:ilvl="6" w:tplc="FA6A7D66">
      <w:numFmt w:val="decimal"/>
      <w:lvlText w:val=""/>
      <w:lvlJc w:val="left"/>
    </w:lvl>
    <w:lvl w:ilvl="7" w:tplc="36DCE826">
      <w:numFmt w:val="decimal"/>
      <w:lvlText w:val=""/>
      <w:lvlJc w:val="left"/>
    </w:lvl>
    <w:lvl w:ilvl="8" w:tplc="80B6293E">
      <w:numFmt w:val="decimal"/>
      <w:lvlText w:val=""/>
      <w:lvlJc w:val="left"/>
    </w:lvl>
  </w:abstractNum>
  <w:abstractNum w:abstractNumId="62" w15:restartNumberingAfterBreak="0">
    <w:nsid w:val="57692747"/>
    <w:multiLevelType w:val="hybridMultilevel"/>
    <w:tmpl w:val="12743C2A"/>
    <w:lvl w:ilvl="0" w:tplc="745A2DBA">
      <w:start w:val="1"/>
      <w:numFmt w:val="bullet"/>
      <w:lvlText w:val=""/>
      <w:lvlJc w:val="left"/>
      <w:pPr>
        <w:tabs>
          <w:tab w:val="num" w:pos="900"/>
        </w:tabs>
        <w:ind w:left="540" w:hanging="360"/>
      </w:pPr>
      <w:rPr>
        <w:rFonts w:ascii="Symbol" w:hAnsi="Symbol" w:hint="default"/>
      </w:rPr>
    </w:lvl>
    <w:lvl w:ilvl="1" w:tplc="C2420D7E">
      <w:numFmt w:val="decimal"/>
      <w:lvlText w:val=""/>
      <w:lvlJc w:val="left"/>
    </w:lvl>
    <w:lvl w:ilvl="2" w:tplc="D736DDDC">
      <w:numFmt w:val="decimal"/>
      <w:lvlText w:val=""/>
      <w:lvlJc w:val="left"/>
    </w:lvl>
    <w:lvl w:ilvl="3" w:tplc="EF7E7736">
      <w:numFmt w:val="decimal"/>
      <w:lvlText w:val=""/>
      <w:lvlJc w:val="left"/>
    </w:lvl>
    <w:lvl w:ilvl="4" w:tplc="B764FADA">
      <w:numFmt w:val="decimal"/>
      <w:lvlText w:val=""/>
      <w:lvlJc w:val="left"/>
    </w:lvl>
    <w:lvl w:ilvl="5" w:tplc="3B7A1872">
      <w:numFmt w:val="decimal"/>
      <w:lvlText w:val=""/>
      <w:lvlJc w:val="left"/>
    </w:lvl>
    <w:lvl w:ilvl="6" w:tplc="2F50852C">
      <w:numFmt w:val="decimal"/>
      <w:lvlText w:val=""/>
      <w:lvlJc w:val="left"/>
    </w:lvl>
    <w:lvl w:ilvl="7" w:tplc="76980112">
      <w:numFmt w:val="decimal"/>
      <w:lvlText w:val=""/>
      <w:lvlJc w:val="left"/>
    </w:lvl>
    <w:lvl w:ilvl="8" w:tplc="6D28F144">
      <w:numFmt w:val="decimal"/>
      <w:lvlText w:val=""/>
      <w:lvlJc w:val="left"/>
    </w:lvl>
  </w:abstractNum>
  <w:abstractNum w:abstractNumId="63" w15:restartNumberingAfterBreak="0">
    <w:nsid w:val="5A1D4CCD"/>
    <w:multiLevelType w:val="hybridMultilevel"/>
    <w:tmpl w:val="32DEE4D2"/>
    <w:lvl w:ilvl="0" w:tplc="F2FC48B6">
      <w:start w:val="1"/>
      <w:numFmt w:val="bullet"/>
      <w:lvlText w:val=""/>
      <w:lvlJc w:val="left"/>
      <w:pPr>
        <w:tabs>
          <w:tab w:val="num" w:pos="900"/>
        </w:tabs>
        <w:ind w:left="540" w:hanging="360"/>
      </w:pPr>
      <w:rPr>
        <w:rFonts w:ascii="Symbol" w:hAnsi="Symbol" w:hint="default"/>
      </w:rPr>
    </w:lvl>
    <w:lvl w:ilvl="1" w:tplc="CE0AD460">
      <w:numFmt w:val="decimal"/>
      <w:lvlText w:val=""/>
      <w:lvlJc w:val="left"/>
    </w:lvl>
    <w:lvl w:ilvl="2" w:tplc="E7D45926">
      <w:numFmt w:val="decimal"/>
      <w:lvlText w:val=""/>
      <w:lvlJc w:val="left"/>
    </w:lvl>
    <w:lvl w:ilvl="3" w:tplc="9DDEF6FC">
      <w:numFmt w:val="decimal"/>
      <w:lvlText w:val=""/>
      <w:lvlJc w:val="left"/>
    </w:lvl>
    <w:lvl w:ilvl="4" w:tplc="B32401FA">
      <w:numFmt w:val="decimal"/>
      <w:lvlText w:val=""/>
      <w:lvlJc w:val="left"/>
    </w:lvl>
    <w:lvl w:ilvl="5" w:tplc="363015D8">
      <w:numFmt w:val="decimal"/>
      <w:lvlText w:val=""/>
      <w:lvlJc w:val="left"/>
    </w:lvl>
    <w:lvl w:ilvl="6" w:tplc="3FAACE92">
      <w:numFmt w:val="decimal"/>
      <w:lvlText w:val=""/>
      <w:lvlJc w:val="left"/>
    </w:lvl>
    <w:lvl w:ilvl="7" w:tplc="712C3512">
      <w:numFmt w:val="decimal"/>
      <w:lvlText w:val=""/>
      <w:lvlJc w:val="left"/>
    </w:lvl>
    <w:lvl w:ilvl="8" w:tplc="72E8B6E4">
      <w:numFmt w:val="decimal"/>
      <w:lvlText w:val=""/>
      <w:lvlJc w:val="left"/>
    </w:lvl>
  </w:abstractNum>
  <w:abstractNum w:abstractNumId="64" w15:restartNumberingAfterBreak="0">
    <w:nsid w:val="5E8B4BA5"/>
    <w:multiLevelType w:val="hybridMultilevel"/>
    <w:tmpl w:val="9046735A"/>
    <w:lvl w:ilvl="0" w:tplc="BFACB580">
      <w:start w:val="1"/>
      <w:numFmt w:val="bullet"/>
      <w:lvlText w:val=""/>
      <w:lvlJc w:val="left"/>
      <w:pPr>
        <w:tabs>
          <w:tab w:val="num" w:pos="900"/>
        </w:tabs>
        <w:ind w:left="540" w:hanging="360"/>
      </w:pPr>
      <w:rPr>
        <w:rFonts w:ascii="Symbol" w:hAnsi="Symbol" w:hint="default"/>
      </w:rPr>
    </w:lvl>
    <w:lvl w:ilvl="1" w:tplc="85BA9AD4">
      <w:numFmt w:val="decimal"/>
      <w:lvlText w:val=""/>
      <w:lvlJc w:val="left"/>
    </w:lvl>
    <w:lvl w:ilvl="2" w:tplc="59E8A932">
      <w:numFmt w:val="decimal"/>
      <w:lvlText w:val=""/>
      <w:lvlJc w:val="left"/>
    </w:lvl>
    <w:lvl w:ilvl="3" w:tplc="8B00291A">
      <w:numFmt w:val="decimal"/>
      <w:lvlText w:val=""/>
      <w:lvlJc w:val="left"/>
    </w:lvl>
    <w:lvl w:ilvl="4" w:tplc="540EF250">
      <w:numFmt w:val="decimal"/>
      <w:lvlText w:val=""/>
      <w:lvlJc w:val="left"/>
    </w:lvl>
    <w:lvl w:ilvl="5" w:tplc="99B8CCD6">
      <w:numFmt w:val="decimal"/>
      <w:lvlText w:val=""/>
      <w:lvlJc w:val="left"/>
    </w:lvl>
    <w:lvl w:ilvl="6" w:tplc="BFF0F138">
      <w:numFmt w:val="decimal"/>
      <w:lvlText w:val=""/>
      <w:lvlJc w:val="left"/>
    </w:lvl>
    <w:lvl w:ilvl="7" w:tplc="9C666924">
      <w:numFmt w:val="decimal"/>
      <w:lvlText w:val=""/>
      <w:lvlJc w:val="left"/>
    </w:lvl>
    <w:lvl w:ilvl="8" w:tplc="0890FA58">
      <w:numFmt w:val="decimal"/>
      <w:lvlText w:val=""/>
      <w:lvlJc w:val="left"/>
    </w:lvl>
  </w:abstractNum>
  <w:abstractNum w:abstractNumId="65" w15:restartNumberingAfterBreak="0">
    <w:nsid w:val="60142102"/>
    <w:multiLevelType w:val="hybridMultilevel"/>
    <w:tmpl w:val="24649022"/>
    <w:lvl w:ilvl="0" w:tplc="02BE8B06">
      <w:start w:val="1"/>
      <w:numFmt w:val="bullet"/>
      <w:lvlText w:val=""/>
      <w:lvlJc w:val="left"/>
      <w:pPr>
        <w:tabs>
          <w:tab w:val="num" w:pos="900"/>
        </w:tabs>
        <w:ind w:left="540" w:hanging="360"/>
      </w:pPr>
      <w:rPr>
        <w:rFonts w:ascii="Symbol" w:hAnsi="Symbol" w:hint="default"/>
      </w:rPr>
    </w:lvl>
    <w:lvl w:ilvl="1" w:tplc="0E3A3B30">
      <w:numFmt w:val="decimal"/>
      <w:lvlText w:val=""/>
      <w:lvlJc w:val="left"/>
    </w:lvl>
    <w:lvl w:ilvl="2" w:tplc="0BBCAB74">
      <w:numFmt w:val="decimal"/>
      <w:lvlText w:val=""/>
      <w:lvlJc w:val="left"/>
    </w:lvl>
    <w:lvl w:ilvl="3" w:tplc="F24AC2FA">
      <w:numFmt w:val="decimal"/>
      <w:lvlText w:val=""/>
      <w:lvlJc w:val="left"/>
    </w:lvl>
    <w:lvl w:ilvl="4" w:tplc="880A82DE">
      <w:numFmt w:val="decimal"/>
      <w:lvlText w:val=""/>
      <w:lvlJc w:val="left"/>
    </w:lvl>
    <w:lvl w:ilvl="5" w:tplc="00B43104">
      <w:numFmt w:val="decimal"/>
      <w:lvlText w:val=""/>
      <w:lvlJc w:val="left"/>
    </w:lvl>
    <w:lvl w:ilvl="6" w:tplc="D26898DA">
      <w:numFmt w:val="decimal"/>
      <w:lvlText w:val=""/>
      <w:lvlJc w:val="left"/>
    </w:lvl>
    <w:lvl w:ilvl="7" w:tplc="8788120A">
      <w:numFmt w:val="decimal"/>
      <w:lvlText w:val=""/>
      <w:lvlJc w:val="left"/>
    </w:lvl>
    <w:lvl w:ilvl="8" w:tplc="877411BC">
      <w:numFmt w:val="decimal"/>
      <w:lvlText w:val=""/>
      <w:lvlJc w:val="left"/>
    </w:lvl>
  </w:abstractNum>
  <w:abstractNum w:abstractNumId="66" w15:restartNumberingAfterBreak="0">
    <w:nsid w:val="607819F0"/>
    <w:multiLevelType w:val="hybridMultilevel"/>
    <w:tmpl w:val="6FE639AE"/>
    <w:lvl w:ilvl="0" w:tplc="1CC65222">
      <w:start w:val="1"/>
      <w:numFmt w:val="bullet"/>
      <w:lvlText w:val=""/>
      <w:lvlJc w:val="left"/>
      <w:pPr>
        <w:tabs>
          <w:tab w:val="num" w:pos="900"/>
        </w:tabs>
        <w:ind w:left="540" w:hanging="360"/>
      </w:pPr>
      <w:rPr>
        <w:rFonts w:ascii="Symbol" w:hAnsi="Symbol" w:hint="default"/>
      </w:rPr>
    </w:lvl>
    <w:lvl w:ilvl="1" w:tplc="6902F856">
      <w:numFmt w:val="decimal"/>
      <w:lvlText w:val=""/>
      <w:lvlJc w:val="left"/>
    </w:lvl>
    <w:lvl w:ilvl="2" w:tplc="9FBC851E">
      <w:numFmt w:val="decimal"/>
      <w:lvlText w:val=""/>
      <w:lvlJc w:val="left"/>
    </w:lvl>
    <w:lvl w:ilvl="3" w:tplc="67882AB8">
      <w:numFmt w:val="decimal"/>
      <w:lvlText w:val=""/>
      <w:lvlJc w:val="left"/>
    </w:lvl>
    <w:lvl w:ilvl="4" w:tplc="58400C62">
      <w:numFmt w:val="decimal"/>
      <w:lvlText w:val=""/>
      <w:lvlJc w:val="left"/>
    </w:lvl>
    <w:lvl w:ilvl="5" w:tplc="74D0E2C4">
      <w:numFmt w:val="decimal"/>
      <w:lvlText w:val=""/>
      <w:lvlJc w:val="left"/>
    </w:lvl>
    <w:lvl w:ilvl="6" w:tplc="09FE95DA">
      <w:numFmt w:val="decimal"/>
      <w:lvlText w:val=""/>
      <w:lvlJc w:val="left"/>
    </w:lvl>
    <w:lvl w:ilvl="7" w:tplc="473AD8B8">
      <w:numFmt w:val="decimal"/>
      <w:lvlText w:val=""/>
      <w:lvlJc w:val="left"/>
    </w:lvl>
    <w:lvl w:ilvl="8" w:tplc="8710DE80">
      <w:numFmt w:val="decimal"/>
      <w:lvlText w:val=""/>
      <w:lvlJc w:val="left"/>
    </w:lvl>
  </w:abstractNum>
  <w:abstractNum w:abstractNumId="67" w15:restartNumberingAfterBreak="0">
    <w:nsid w:val="61263452"/>
    <w:multiLevelType w:val="hybridMultilevel"/>
    <w:tmpl w:val="B5228DA8"/>
    <w:lvl w:ilvl="0" w:tplc="0BEA58E6">
      <w:start w:val="1"/>
      <w:numFmt w:val="bullet"/>
      <w:lvlText w:val=""/>
      <w:lvlJc w:val="left"/>
      <w:pPr>
        <w:tabs>
          <w:tab w:val="num" w:pos="900"/>
        </w:tabs>
        <w:ind w:left="540" w:hanging="360"/>
      </w:pPr>
      <w:rPr>
        <w:rFonts w:ascii="Symbol" w:hAnsi="Symbol" w:hint="default"/>
      </w:rPr>
    </w:lvl>
    <w:lvl w:ilvl="1" w:tplc="D774078A">
      <w:numFmt w:val="decimal"/>
      <w:lvlText w:val=""/>
      <w:lvlJc w:val="left"/>
    </w:lvl>
    <w:lvl w:ilvl="2" w:tplc="B9D46F0C">
      <w:numFmt w:val="decimal"/>
      <w:lvlText w:val=""/>
      <w:lvlJc w:val="left"/>
    </w:lvl>
    <w:lvl w:ilvl="3" w:tplc="9A08BEF6">
      <w:numFmt w:val="decimal"/>
      <w:lvlText w:val=""/>
      <w:lvlJc w:val="left"/>
    </w:lvl>
    <w:lvl w:ilvl="4" w:tplc="90A23A20">
      <w:numFmt w:val="decimal"/>
      <w:lvlText w:val=""/>
      <w:lvlJc w:val="left"/>
    </w:lvl>
    <w:lvl w:ilvl="5" w:tplc="3DF20156">
      <w:numFmt w:val="decimal"/>
      <w:lvlText w:val=""/>
      <w:lvlJc w:val="left"/>
    </w:lvl>
    <w:lvl w:ilvl="6" w:tplc="C02AABAA">
      <w:numFmt w:val="decimal"/>
      <w:lvlText w:val=""/>
      <w:lvlJc w:val="left"/>
    </w:lvl>
    <w:lvl w:ilvl="7" w:tplc="0B98398C">
      <w:numFmt w:val="decimal"/>
      <w:lvlText w:val=""/>
      <w:lvlJc w:val="left"/>
    </w:lvl>
    <w:lvl w:ilvl="8" w:tplc="0A3E42F2">
      <w:numFmt w:val="decimal"/>
      <w:lvlText w:val=""/>
      <w:lvlJc w:val="left"/>
    </w:lvl>
  </w:abstractNum>
  <w:abstractNum w:abstractNumId="68" w15:restartNumberingAfterBreak="0">
    <w:nsid w:val="62D55354"/>
    <w:multiLevelType w:val="hybridMultilevel"/>
    <w:tmpl w:val="0736F238"/>
    <w:lvl w:ilvl="0" w:tplc="F942FF2E">
      <w:start w:val="1"/>
      <w:numFmt w:val="bullet"/>
      <w:lvlText w:val=""/>
      <w:lvlJc w:val="left"/>
      <w:pPr>
        <w:tabs>
          <w:tab w:val="num" w:pos="900"/>
        </w:tabs>
        <w:ind w:left="540" w:hanging="360"/>
      </w:pPr>
      <w:rPr>
        <w:rFonts w:ascii="Symbol" w:hAnsi="Symbol" w:hint="default"/>
      </w:rPr>
    </w:lvl>
    <w:lvl w:ilvl="1" w:tplc="1E6C8F14">
      <w:numFmt w:val="decimal"/>
      <w:lvlText w:val=""/>
      <w:lvlJc w:val="left"/>
    </w:lvl>
    <w:lvl w:ilvl="2" w:tplc="5C9EA282">
      <w:numFmt w:val="decimal"/>
      <w:lvlText w:val=""/>
      <w:lvlJc w:val="left"/>
    </w:lvl>
    <w:lvl w:ilvl="3" w:tplc="BE40348E">
      <w:numFmt w:val="decimal"/>
      <w:lvlText w:val=""/>
      <w:lvlJc w:val="left"/>
    </w:lvl>
    <w:lvl w:ilvl="4" w:tplc="8918EB78">
      <w:numFmt w:val="decimal"/>
      <w:lvlText w:val=""/>
      <w:lvlJc w:val="left"/>
    </w:lvl>
    <w:lvl w:ilvl="5" w:tplc="0B1CADAA">
      <w:numFmt w:val="decimal"/>
      <w:lvlText w:val=""/>
      <w:lvlJc w:val="left"/>
    </w:lvl>
    <w:lvl w:ilvl="6" w:tplc="D834CE26">
      <w:numFmt w:val="decimal"/>
      <w:lvlText w:val=""/>
      <w:lvlJc w:val="left"/>
    </w:lvl>
    <w:lvl w:ilvl="7" w:tplc="39B41C70">
      <w:numFmt w:val="decimal"/>
      <w:lvlText w:val=""/>
      <w:lvlJc w:val="left"/>
    </w:lvl>
    <w:lvl w:ilvl="8" w:tplc="76288118">
      <w:numFmt w:val="decimal"/>
      <w:lvlText w:val=""/>
      <w:lvlJc w:val="left"/>
    </w:lvl>
  </w:abstractNum>
  <w:abstractNum w:abstractNumId="69" w15:restartNumberingAfterBreak="0">
    <w:nsid w:val="657809B3"/>
    <w:multiLevelType w:val="hybridMultilevel"/>
    <w:tmpl w:val="9EC8D882"/>
    <w:lvl w:ilvl="0" w:tplc="8EF27926">
      <w:start w:val="1"/>
      <w:numFmt w:val="bullet"/>
      <w:lvlText w:val=""/>
      <w:lvlJc w:val="left"/>
      <w:pPr>
        <w:tabs>
          <w:tab w:val="num" w:pos="900"/>
        </w:tabs>
        <w:ind w:left="540" w:hanging="360"/>
      </w:pPr>
      <w:rPr>
        <w:rFonts w:ascii="Symbol" w:hAnsi="Symbol" w:hint="default"/>
      </w:rPr>
    </w:lvl>
    <w:lvl w:ilvl="1" w:tplc="3B0A39EE">
      <w:numFmt w:val="decimal"/>
      <w:lvlText w:val=""/>
      <w:lvlJc w:val="left"/>
    </w:lvl>
    <w:lvl w:ilvl="2" w:tplc="CE981C8C">
      <w:numFmt w:val="decimal"/>
      <w:lvlText w:val=""/>
      <w:lvlJc w:val="left"/>
    </w:lvl>
    <w:lvl w:ilvl="3" w:tplc="AF68ABE8">
      <w:numFmt w:val="decimal"/>
      <w:lvlText w:val=""/>
      <w:lvlJc w:val="left"/>
    </w:lvl>
    <w:lvl w:ilvl="4" w:tplc="6BF8858E">
      <w:numFmt w:val="decimal"/>
      <w:lvlText w:val=""/>
      <w:lvlJc w:val="left"/>
    </w:lvl>
    <w:lvl w:ilvl="5" w:tplc="14648826">
      <w:numFmt w:val="decimal"/>
      <w:lvlText w:val=""/>
      <w:lvlJc w:val="left"/>
    </w:lvl>
    <w:lvl w:ilvl="6" w:tplc="9D4E6770">
      <w:numFmt w:val="decimal"/>
      <w:lvlText w:val=""/>
      <w:lvlJc w:val="left"/>
    </w:lvl>
    <w:lvl w:ilvl="7" w:tplc="D1900364">
      <w:numFmt w:val="decimal"/>
      <w:lvlText w:val=""/>
      <w:lvlJc w:val="left"/>
    </w:lvl>
    <w:lvl w:ilvl="8" w:tplc="53A096D2">
      <w:numFmt w:val="decimal"/>
      <w:lvlText w:val=""/>
      <w:lvlJc w:val="left"/>
    </w:lvl>
  </w:abstractNum>
  <w:abstractNum w:abstractNumId="70" w15:restartNumberingAfterBreak="0">
    <w:nsid w:val="6954067F"/>
    <w:multiLevelType w:val="hybridMultilevel"/>
    <w:tmpl w:val="C7D0F43E"/>
    <w:lvl w:ilvl="0" w:tplc="870E903C">
      <w:start w:val="1"/>
      <w:numFmt w:val="bullet"/>
      <w:lvlText w:val=""/>
      <w:lvlJc w:val="left"/>
      <w:pPr>
        <w:tabs>
          <w:tab w:val="num" w:pos="900"/>
        </w:tabs>
        <w:ind w:left="540" w:hanging="360"/>
      </w:pPr>
      <w:rPr>
        <w:rFonts w:ascii="Symbol" w:hAnsi="Symbol" w:hint="default"/>
      </w:rPr>
    </w:lvl>
    <w:lvl w:ilvl="1" w:tplc="B0903AB8">
      <w:numFmt w:val="decimal"/>
      <w:lvlText w:val=""/>
      <w:lvlJc w:val="left"/>
    </w:lvl>
    <w:lvl w:ilvl="2" w:tplc="F4BEB3E4">
      <w:numFmt w:val="decimal"/>
      <w:lvlText w:val=""/>
      <w:lvlJc w:val="left"/>
    </w:lvl>
    <w:lvl w:ilvl="3" w:tplc="BA5ABE14">
      <w:numFmt w:val="decimal"/>
      <w:lvlText w:val=""/>
      <w:lvlJc w:val="left"/>
    </w:lvl>
    <w:lvl w:ilvl="4" w:tplc="925A2A7A">
      <w:numFmt w:val="decimal"/>
      <w:lvlText w:val=""/>
      <w:lvlJc w:val="left"/>
    </w:lvl>
    <w:lvl w:ilvl="5" w:tplc="19B20984">
      <w:numFmt w:val="decimal"/>
      <w:lvlText w:val=""/>
      <w:lvlJc w:val="left"/>
    </w:lvl>
    <w:lvl w:ilvl="6" w:tplc="5762E5E6">
      <w:numFmt w:val="decimal"/>
      <w:lvlText w:val=""/>
      <w:lvlJc w:val="left"/>
    </w:lvl>
    <w:lvl w:ilvl="7" w:tplc="2EF24BF8">
      <w:numFmt w:val="decimal"/>
      <w:lvlText w:val=""/>
      <w:lvlJc w:val="left"/>
    </w:lvl>
    <w:lvl w:ilvl="8" w:tplc="C0366E4A">
      <w:numFmt w:val="decimal"/>
      <w:lvlText w:val=""/>
      <w:lvlJc w:val="left"/>
    </w:lvl>
  </w:abstractNum>
  <w:abstractNum w:abstractNumId="71" w15:restartNumberingAfterBreak="0">
    <w:nsid w:val="6BB249B4"/>
    <w:multiLevelType w:val="hybridMultilevel"/>
    <w:tmpl w:val="65BA083C"/>
    <w:lvl w:ilvl="0" w:tplc="378C7D84">
      <w:start w:val="1"/>
      <w:numFmt w:val="bullet"/>
      <w:lvlText w:val=""/>
      <w:lvlJc w:val="left"/>
      <w:pPr>
        <w:tabs>
          <w:tab w:val="num" w:pos="900"/>
        </w:tabs>
        <w:ind w:left="540" w:hanging="360"/>
      </w:pPr>
      <w:rPr>
        <w:rFonts w:ascii="Symbol" w:hAnsi="Symbol" w:hint="default"/>
      </w:rPr>
    </w:lvl>
    <w:lvl w:ilvl="1" w:tplc="C5781EAA">
      <w:numFmt w:val="decimal"/>
      <w:lvlText w:val=""/>
      <w:lvlJc w:val="left"/>
    </w:lvl>
    <w:lvl w:ilvl="2" w:tplc="B3D0E704">
      <w:numFmt w:val="decimal"/>
      <w:lvlText w:val=""/>
      <w:lvlJc w:val="left"/>
    </w:lvl>
    <w:lvl w:ilvl="3" w:tplc="31CEF7A4">
      <w:numFmt w:val="decimal"/>
      <w:lvlText w:val=""/>
      <w:lvlJc w:val="left"/>
    </w:lvl>
    <w:lvl w:ilvl="4" w:tplc="FA3A3806">
      <w:numFmt w:val="decimal"/>
      <w:lvlText w:val=""/>
      <w:lvlJc w:val="left"/>
    </w:lvl>
    <w:lvl w:ilvl="5" w:tplc="9F305D52">
      <w:numFmt w:val="decimal"/>
      <w:lvlText w:val=""/>
      <w:lvlJc w:val="left"/>
    </w:lvl>
    <w:lvl w:ilvl="6" w:tplc="86947BC6">
      <w:numFmt w:val="decimal"/>
      <w:lvlText w:val=""/>
      <w:lvlJc w:val="left"/>
    </w:lvl>
    <w:lvl w:ilvl="7" w:tplc="DF623F9A">
      <w:numFmt w:val="decimal"/>
      <w:lvlText w:val=""/>
      <w:lvlJc w:val="left"/>
    </w:lvl>
    <w:lvl w:ilvl="8" w:tplc="5EFC6252">
      <w:numFmt w:val="decimal"/>
      <w:lvlText w:val=""/>
      <w:lvlJc w:val="left"/>
    </w:lvl>
  </w:abstractNum>
  <w:abstractNum w:abstractNumId="72" w15:restartNumberingAfterBreak="0">
    <w:nsid w:val="6C4C69F4"/>
    <w:multiLevelType w:val="hybridMultilevel"/>
    <w:tmpl w:val="27F8B81C"/>
    <w:lvl w:ilvl="0" w:tplc="AA38D7C2">
      <w:start w:val="1"/>
      <w:numFmt w:val="bullet"/>
      <w:lvlText w:val=""/>
      <w:lvlJc w:val="left"/>
      <w:pPr>
        <w:tabs>
          <w:tab w:val="num" w:pos="900"/>
        </w:tabs>
        <w:ind w:left="540" w:hanging="360"/>
      </w:pPr>
      <w:rPr>
        <w:rFonts w:ascii="Symbol" w:hAnsi="Symbol" w:hint="default"/>
      </w:rPr>
    </w:lvl>
    <w:lvl w:ilvl="1" w:tplc="A60A4772">
      <w:numFmt w:val="decimal"/>
      <w:lvlText w:val=""/>
      <w:lvlJc w:val="left"/>
    </w:lvl>
    <w:lvl w:ilvl="2" w:tplc="66E4C392">
      <w:numFmt w:val="decimal"/>
      <w:lvlText w:val=""/>
      <w:lvlJc w:val="left"/>
    </w:lvl>
    <w:lvl w:ilvl="3" w:tplc="2B0CF2BA">
      <w:numFmt w:val="decimal"/>
      <w:lvlText w:val=""/>
      <w:lvlJc w:val="left"/>
    </w:lvl>
    <w:lvl w:ilvl="4" w:tplc="89C6DCF2">
      <w:numFmt w:val="decimal"/>
      <w:lvlText w:val=""/>
      <w:lvlJc w:val="left"/>
    </w:lvl>
    <w:lvl w:ilvl="5" w:tplc="E13E9D4A">
      <w:numFmt w:val="decimal"/>
      <w:lvlText w:val=""/>
      <w:lvlJc w:val="left"/>
    </w:lvl>
    <w:lvl w:ilvl="6" w:tplc="C628849A">
      <w:numFmt w:val="decimal"/>
      <w:lvlText w:val=""/>
      <w:lvlJc w:val="left"/>
    </w:lvl>
    <w:lvl w:ilvl="7" w:tplc="8FFE7F6C">
      <w:numFmt w:val="decimal"/>
      <w:lvlText w:val=""/>
      <w:lvlJc w:val="left"/>
    </w:lvl>
    <w:lvl w:ilvl="8" w:tplc="EDC4F5CE">
      <w:numFmt w:val="decimal"/>
      <w:lvlText w:val=""/>
      <w:lvlJc w:val="left"/>
    </w:lvl>
  </w:abstractNum>
  <w:abstractNum w:abstractNumId="73" w15:restartNumberingAfterBreak="0">
    <w:nsid w:val="6E1D27F5"/>
    <w:multiLevelType w:val="hybridMultilevel"/>
    <w:tmpl w:val="5BD682C8"/>
    <w:lvl w:ilvl="0" w:tplc="C0E6CE1C">
      <w:start w:val="1"/>
      <w:numFmt w:val="bullet"/>
      <w:lvlText w:val=""/>
      <w:lvlJc w:val="left"/>
      <w:pPr>
        <w:tabs>
          <w:tab w:val="num" w:pos="900"/>
        </w:tabs>
        <w:ind w:left="540" w:hanging="360"/>
      </w:pPr>
      <w:rPr>
        <w:rFonts w:ascii="Symbol" w:hAnsi="Symbol" w:hint="default"/>
      </w:rPr>
    </w:lvl>
    <w:lvl w:ilvl="1" w:tplc="B268D4CA">
      <w:numFmt w:val="decimal"/>
      <w:lvlText w:val=""/>
      <w:lvlJc w:val="left"/>
    </w:lvl>
    <w:lvl w:ilvl="2" w:tplc="D09A4ECC">
      <w:numFmt w:val="decimal"/>
      <w:lvlText w:val=""/>
      <w:lvlJc w:val="left"/>
    </w:lvl>
    <w:lvl w:ilvl="3" w:tplc="7C58C62A">
      <w:numFmt w:val="decimal"/>
      <w:lvlText w:val=""/>
      <w:lvlJc w:val="left"/>
    </w:lvl>
    <w:lvl w:ilvl="4" w:tplc="CBAE7F06">
      <w:numFmt w:val="decimal"/>
      <w:lvlText w:val=""/>
      <w:lvlJc w:val="left"/>
    </w:lvl>
    <w:lvl w:ilvl="5" w:tplc="6DC0B6E2">
      <w:numFmt w:val="decimal"/>
      <w:lvlText w:val=""/>
      <w:lvlJc w:val="left"/>
    </w:lvl>
    <w:lvl w:ilvl="6" w:tplc="88AA7FFA">
      <w:numFmt w:val="decimal"/>
      <w:lvlText w:val=""/>
      <w:lvlJc w:val="left"/>
    </w:lvl>
    <w:lvl w:ilvl="7" w:tplc="174E6B0C">
      <w:numFmt w:val="decimal"/>
      <w:lvlText w:val=""/>
      <w:lvlJc w:val="left"/>
    </w:lvl>
    <w:lvl w:ilvl="8" w:tplc="41F0EA3C">
      <w:numFmt w:val="decimal"/>
      <w:lvlText w:val=""/>
      <w:lvlJc w:val="left"/>
    </w:lvl>
  </w:abstractNum>
  <w:abstractNum w:abstractNumId="74" w15:restartNumberingAfterBreak="0">
    <w:nsid w:val="6FC8100C"/>
    <w:multiLevelType w:val="hybridMultilevel"/>
    <w:tmpl w:val="911C590A"/>
    <w:lvl w:ilvl="0" w:tplc="2CDEBE98">
      <w:start w:val="1"/>
      <w:numFmt w:val="bullet"/>
      <w:lvlText w:val=""/>
      <w:lvlJc w:val="left"/>
      <w:pPr>
        <w:tabs>
          <w:tab w:val="num" w:pos="900"/>
        </w:tabs>
        <w:ind w:left="540" w:hanging="360"/>
      </w:pPr>
      <w:rPr>
        <w:rFonts w:ascii="Symbol" w:hAnsi="Symbol" w:hint="default"/>
      </w:rPr>
    </w:lvl>
    <w:lvl w:ilvl="1" w:tplc="7FD69F4E">
      <w:numFmt w:val="decimal"/>
      <w:lvlText w:val=""/>
      <w:lvlJc w:val="left"/>
    </w:lvl>
    <w:lvl w:ilvl="2" w:tplc="E474C0C0">
      <w:numFmt w:val="decimal"/>
      <w:lvlText w:val=""/>
      <w:lvlJc w:val="left"/>
    </w:lvl>
    <w:lvl w:ilvl="3" w:tplc="323C8306">
      <w:numFmt w:val="decimal"/>
      <w:lvlText w:val=""/>
      <w:lvlJc w:val="left"/>
    </w:lvl>
    <w:lvl w:ilvl="4" w:tplc="14C2BBC6">
      <w:numFmt w:val="decimal"/>
      <w:lvlText w:val=""/>
      <w:lvlJc w:val="left"/>
    </w:lvl>
    <w:lvl w:ilvl="5" w:tplc="4884778A">
      <w:numFmt w:val="decimal"/>
      <w:lvlText w:val=""/>
      <w:lvlJc w:val="left"/>
    </w:lvl>
    <w:lvl w:ilvl="6" w:tplc="8B34B3FE">
      <w:numFmt w:val="decimal"/>
      <w:lvlText w:val=""/>
      <w:lvlJc w:val="left"/>
    </w:lvl>
    <w:lvl w:ilvl="7" w:tplc="9550ABFA">
      <w:numFmt w:val="decimal"/>
      <w:lvlText w:val=""/>
      <w:lvlJc w:val="left"/>
    </w:lvl>
    <w:lvl w:ilvl="8" w:tplc="25E060E6">
      <w:numFmt w:val="decimal"/>
      <w:lvlText w:val=""/>
      <w:lvlJc w:val="left"/>
    </w:lvl>
  </w:abstractNum>
  <w:abstractNum w:abstractNumId="75" w15:restartNumberingAfterBreak="0">
    <w:nsid w:val="702F1883"/>
    <w:multiLevelType w:val="hybridMultilevel"/>
    <w:tmpl w:val="FF1EE57C"/>
    <w:lvl w:ilvl="0" w:tplc="861A1EA6">
      <w:start w:val="1"/>
      <w:numFmt w:val="bullet"/>
      <w:lvlText w:val=""/>
      <w:lvlJc w:val="left"/>
      <w:pPr>
        <w:tabs>
          <w:tab w:val="num" w:pos="900"/>
        </w:tabs>
        <w:ind w:left="540" w:hanging="360"/>
      </w:pPr>
      <w:rPr>
        <w:rFonts w:ascii="Symbol" w:hAnsi="Symbol" w:hint="default"/>
      </w:rPr>
    </w:lvl>
    <w:lvl w:ilvl="1" w:tplc="2866227C">
      <w:numFmt w:val="decimal"/>
      <w:lvlText w:val=""/>
      <w:lvlJc w:val="left"/>
    </w:lvl>
    <w:lvl w:ilvl="2" w:tplc="4ED6E260">
      <w:numFmt w:val="decimal"/>
      <w:lvlText w:val=""/>
      <w:lvlJc w:val="left"/>
    </w:lvl>
    <w:lvl w:ilvl="3" w:tplc="28BE8658">
      <w:numFmt w:val="decimal"/>
      <w:lvlText w:val=""/>
      <w:lvlJc w:val="left"/>
    </w:lvl>
    <w:lvl w:ilvl="4" w:tplc="7806EF7C">
      <w:numFmt w:val="decimal"/>
      <w:lvlText w:val=""/>
      <w:lvlJc w:val="left"/>
    </w:lvl>
    <w:lvl w:ilvl="5" w:tplc="12E88F6A">
      <w:numFmt w:val="decimal"/>
      <w:lvlText w:val=""/>
      <w:lvlJc w:val="left"/>
    </w:lvl>
    <w:lvl w:ilvl="6" w:tplc="445A9EDE">
      <w:numFmt w:val="decimal"/>
      <w:lvlText w:val=""/>
      <w:lvlJc w:val="left"/>
    </w:lvl>
    <w:lvl w:ilvl="7" w:tplc="59626EEC">
      <w:numFmt w:val="decimal"/>
      <w:lvlText w:val=""/>
      <w:lvlJc w:val="left"/>
    </w:lvl>
    <w:lvl w:ilvl="8" w:tplc="E7621A06">
      <w:numFmt w:val="decimal"/>
      <w:lvlText w:val=""/>
      <w:lvlJc w:val="left"/>
    </w:lvl>
  </w:abstractNum>
  <w:abstractNum w:abstractNumId="76" w15:restartNumberingAfterBreak="0">
    <w:nsid w:val="70FA7AF2"/>
    <w:multiLevelType w:val="hybridMultilevel"/>
    <w:tmpl w:val="EE40C4EA"/>
    <w:lvl w:ilvl="0" w:tplc="E26A8984">
      <w:start w:val="1"/>
      <w:numFmt w:val="bullet"/>
      <w:lvlText w:val=""/>
      <w:lvlJc w:val="left"/>
      <w:pPr>
        <w:tabs>
          <w:tab w:val="num" w:pos="900"/>
        </w:tabs>
        <w:ind w:left="540" w:hanging="360"/>
      </w:pPr>
      <w:rPr>
        <w:rFonts w:ascii="Symbol" w:hAnsi="Symbol" w:hint="default"/>
      </w:rPr>
    </w:lvl>
    <w:lvl w:ilvl="1" w:tplc="154687A6">
      <w:numFmt w:val="decimal"/>
      <w:lvlText w:val=""/>
      <w:lvlJc w:val="left"/>
    </w:lvl>
    <w:lvl w:ilvl="2" w:tplc="74E29228">
      <w:numFmt w:val="decimal"/>
      <w:lvlText w:val=""/>
      <w:lvlJc w:val="left"/>
    </w:lvl>
    <w:lvl w:ilvl="3" w:tplc="916EACF0">
      <w:numFmt w:val="decimal"/>
      <w:lvlText w:val=""/>
      <w:lvlJc w:val="left"/>
    </w:lvl>
    <w:lvl w:ilvl="4" w:tplc="0A26CA28">
      <w:numFmt w:val="decimal"/>
      <w:lvlText w:val=""/>
      <w:lvlJc w:val="left"/>
    </w:lvl>
    <w:lvl w:ilvl="5" w:tplc="0BD2C1CE">
      <w:numFmt w:val="decimal"/>
      <w:lvlText w:val=""/>
      <w:lvlJc w:val="left"/>
    </w:lvl>
    <w:lvl w:ilvl="6" w:tplc="8FD2F5C8">
      <w:numFmt w:val="decimal"/>
      <w:lvlText w:val=""/>
      <w:lvlJc w:val="left"/>
    </w:lvl>
    <w:lvl w:ilvl="7" w:tplc="8A2E7686">
      <w:numFmt w:val="decimal"/>
      <w:lvlText w:val=""/>
      <w:lvlJc w:val="left"/>
    </w:lvl>
    <w:lvl w:ilvl="8" w:tplc="80A0E6A4">
      <w:numFmt w:val="decimal"/>
      <w:lvlText w:val=""/>
      <w:lvlJc w:val="left"/>
    </w:lvl>
  </w:abstractNum>
  <w:abstractNum w:abstractNumId="77" w15:restartNumberingAfterBreak="0">
    <w:nsid w:val="7208742D"/>
    <w:multiLevelType w:val="hybridMultilevel"/>
    <w:tmpl w:val="49FEF2BA"/>
    <w:lvl w:ilvl="0" w:tplc="8AC8823E">
      <w:start w:val="1"/>
      <w:numFmt w:val="bullet"/>
      <w:lvlText w:val=""/>
      <w:lvlJc w:val="left"/>
      <w:pPr>
        <w:tabs>
          <w:tab w:val="num" w:pos="900"/>
        </w:tabs>
        <w:ind w:left="540" w:hanging="360"/>
      </w:pPr>
      <w:rPr>
        <w:rFonts w:ascii="Symbol" w:hAnsi="Symbol" w:hint="default"/>
      </w:rPr>
    </w:lvl>
    <w:lvl w:ilvl="1" w:tplc="0B60D890">
      <w:numFmt w:val="decimal"/>
      <w:lvlText w:val=""/>
      <w:lvlJc w:val="left"/>
    </w:lvl>
    <w:lvl w:ilvl="2" w:tplc="AD9AA17E">
      <w:numFmt w:val="decimal"/>
      <w:lvlText w:val=""/>
      <w:lvlJc w:val="left"/>
    </w:lvl>
    <w:lvl w:ilvl="3" w:tplc="E0A25D68">
      <w:numFmt w:val="decimal"/>
      <w:lvlText w:val=""/>
      <w:lvlJc w:val="left"/>
    </w:lvl>
    <w:lvl w:ilvl="4" w:tplc="B164C4FE">
      <w:numFmt w:val="decimal"/>
      <w:lvlText w:val=""/>
      <w:lvlJc w:val="left"/>
    </w:lvl>
    <w:lvl w:ilvl="5" w:tplc="D1E847C6">
      <w:numFmt w:val="decimal"/>
      <w:lvlText w:val=""/>
      <w:lvlJc w:val="left"/>
    </w:lvl>
    <w:lvl w:ilvl="6" w:tplc="CB2CEB68">
      <w:numFmt w:val="decimal"/>
      <w:lvlText w:val=""/>
      <w:lvlJc w:val="left"/>
    </w:lvl>
    <w:lvl w:ilvl="7" w:tplc="9288D856">
      <w:numFmt w:val="decimal"/>
      <w:lvlText w:val=""/>
      <w:lvlJc w:val="left"/>
    </w:lvl>
    <w:lvl w:ilvl="8" w:tplc="E5B62E16">
      <w:numFmt w:val="decimal"/>
      <w:lvlText w:val=""/>
      <w:lvlJc w:val="left"/>
    </w:lvl>
  </w:abstractNum>
  <w:abstractNum w:abstractNumId="78" w15:restartNumberingAfterBreak="0">
    <w:nsid w:val="72B56458"/>
    <w:multiLevelType w:val="hybridMultilevel"/>
    <w:tmpl w:val="AE300ADE"/>
    <w:lvl w:ilvl="0" w:tplc="68C0E658">
      <w:start w:val="1"/>
      <w:numFmt w:val="bullet"/>
      <w:lvlText w:val=""/>
      <w:lvlJc w:val="left"/>
      <w:pPr>
        <w:tabs>
          <w:tab w:val="num" w:pos="900"/>
        </w:tabs>
        <w:ind w:left="540" w:hanging="360"/>
      </w:pPr>
      <w:rPr>
        <w:rFonts w:ascii="Symbol" w:hAnsi="Symbol" w:hint="default"/>
      </w:rPr>
    </w:lvl>
    <w:lvl w:ilvl="1" w:tplc="6F28AA20">
      <w:numFmt w:val="decimal"/>
      <w:lvlText w:val=""/>
      <w:lvlJc w:val="left"/>
    </w:lvl>
    <w:lvl w:ilvl="2" w:tplc="FFA292B4">
      <w:numFmt w:val="decimal"/>
      <w:lvlText w:val=""/>
      <w:lvlJc w:val="left"/>
    </w:lvl>
    <w:lvl w:ilvl="3" w:tplc="976A59B8">
      <w:numFmt w:val="decimal"/>
      <w:lvlText w:val=""/>
      <w:lvlJc w:val="left"/>
    </w:lvl>
    <w:lvl w:ilvl="4" w:tplc="762C0B8C">
      <w:numFmt w:val="decimal"/>
      <w:lvlText w:val=""/>
      <w:lvlJc w:val="left"/>
    </w:lvl>
    <w:lvl w:ilvl="5" w:tplc="470016CC">
      <w:numFmt w:val="decimal"/>
      <w:lvlText w:val=""/>
      <w:lvlJc w:val="left"/>
    </w:lvl>
    <w:lvl w:ilvl="6" w:tplc="E60291FA">
      <w:numFmt w:val="decimal"/>
      <w:lvlText w:val=""/>
      <w:lvlJc w:val="left"/>
    </w:lvl>
    <w:lvl w:ilvl="7" w:tplc="9F78543A">
      <w:numFmt w:val="decimal"/>
      <w:lvlText w:val=""/>
      <w:lvlJc w:val="left"/>
    </w:lvl>
    <w:lvl w:ilvl="8" w:tplc="C3A89C10">
      <w:numFmt w:val="decimal"/>
      <w:lvlText w:val=""/>
      <w:lvlJc w:val="left"/>
    </w:lvl>
  </w:abstractNum>
  <w:abstractNum w:abstractNumId="79" w15:restartNumberingAfterBreak="0">
    <w:nsid w:val="745A739A"/>
    <w:multiLevelType w:val="hybridMultilevel"/>
    <w:tmpl w:val="7CFAE688"/>
    <w:lvl w:ilvl="0" w:tplc="8A76656A">
      <w:start w:val="1"/>
      <w:numFmt w:val="bullet"/>
      <w:lvlText w:val=""/>
      <w:lvlJc w:val="left"/>
      <w:pPr>
        <w:tabs>
          <w:tab w:val="num" w:pos="900"/>
        </w:tabs>
        <w:ind w:left="540" w:hanging="360"/>
      </w:pPr>
      <w:rPr>
        <w:rFonts w:ascii="Symbol" w:hAnsi="Symbol" w:hint="default"/>
      </w:rPr>
    </w:lvl>
    <w:lvl w:ilvl="1" w:tplc="1A4C1E26">
      <w:numFmt w:val="decimal"/>
      <w:lvlText w:val=""/>
      <w:lvlJc w:val="left"/>
    </w:lvl>
    <w:lvl w:ilvl="2" w:tplc="06F0935C">
      <w:numFmt w:val="decimal"/>
      <w:lvlText w:val=""/>
      <w:lvlJc w:val="left"/>
    </w:lvl>
    <w:lvl w:ilvl="3" w:tplc="B038D620">
      <w:numFmt w:val="decimal"/>
      <w:lvlText w:val=""/>
      <w:lvlJc w:val="left"/>
    </w:lvl>
    <w:lvl w:ilvl="4" w:tplc="43CA2CA8">
      <w:numFmt w:val="decimal"/>
      <w:lvlText w:val=""/>
      <w:lvlJc w:val="left"/>
    </w:lvl>
    <w:lvl w:ilvl="5" w:tplc="712049CE">
      <w:numFmt w:val="decimal"/>
      <w:lvlText w:val=""/>
      <w:lvlJc w:val="left"/>
    </w:lvl>
    <w:lvl w:ilvl="6" w:tplc="E22A227C">
      <w:numFmt w:val="decimal"/>
      <w:lvlText w:val=""/>
      <w:lvlJc w:val="left"/>
    </w:lvl>
    <w:lvl w:ilvl="7" w:tplc="7B2CE5A4">
      <w:numFmt w:val="decimal"/>
      <w:lvlText w:val=""/>
      <w:lvlJc w:val="left"/>
    </w:lvl>
    <w:lvl w:ilvl="8" w:tplc="606EDB36">
      <w:numFmt w:val="decimal"/>
      <w:lvlText w:val=""/>
      <w:lvlJc w:val="left"/>
    </w:lvl>
  </w:abstractNum>
  <w:abstractNum w:abstractNumId="80" w15:restartNumberingAfterBreak="0">
    <w:nsid w:val="751D1D36"/>
    <w:multiLevelType w:val="hybridMultilevel"/>
    <w:tmpl w:val="9A345128"/>
    <w:lvl w:ilvl="0" w:tplc="D1C4CDC0">
      <w:start w:val="1"/>
      <w:numFmt w:val="bullet"/>
      <w:lvlText w:val=""/>
      <w:lvlJc w:val="left"/>
      <w:pPr>
        <w:tabs>
          <w:tab w:val="num" w:pos="900"/>
        </w:tabs>
        <w:ind w:left="540" w:hanging="360"/>
      </w:pPr>
      <w:rPr>
        <w:rFonts w:ascii="Symbol" w:hAnsi="Symbol" w:hint="default"/>
      </w:rPr>
    </w:lvl>
    <w:lvl w:ilvl="1" w:tplc="C60C6194">
      <w:numFmt w:val="decimal"/>
      <w:lvlText w:val=""/>
      <w:lvlJc w:val="left"/>
    </w:lvl>
    <w:lvl w:ilvl="2" w:tplc="CAF82A1C">
      <w:numFmt w:val="decimal"/>
      <w:lvlText w:val=""/>
      <w:lvlJc w:val="left"/>
    </w:lvl>
    <w:lvl w:ilvl="3" w:tplc="C7EA0D6A">
      <w:numFmt w:val="decimal"/>
      <w:lvlText w:val=""/>
      <w:lvlJc w:val="left"/>
    </w:lvl>
    <w:lvl w:ilvl="4" w:tplc="047455E2">
      <w:numFmt w:val="decimal"/>
      <w:lvlText w:val=""/>
      <w:lvlJc w:val="left"/>
    </w:lvl>
    <w:lvl w:ilvl="5" w:tplc="4FA02DC8">
      <w:numFmt w:val="decimal"/>
      <w:lvlText w:val=""/>
      <w:lvlJc w:val="left"/>
    </w:lvl>
    <w:lvl w:ilvl="6" w:tplc="DC94C558">
      <w:numFmt w:val="decimal"/>
      <w:lvlText w:val=""/>
      <w:lvlJc w:val="left"/>
    </w:lvl>
    <w:lvl w:ilvl="7" w:tplc="67605428">
      <w:numFmt w:val="decimal"/>
      <w:lvlText w:val=""/>
      <w:lvlJc w:val="left"/>
    </w:lvl>
    <w:lvl w:ilvl="8" w:tplc="FBDEFD02">
      <w:numFmt w:val="decimal"/>
      <w:lvlText w:val=""/>
      <w:lvlJc w:val="left"/>
    </w:lvl>
  </w:abstractNum>
  <w:abstractNum w:abstractNumId="81" w15:restartNumberingAfterBreak="0">
    <w:nsid w:val="75924391"/>
    <w:multiLevelType w:val="hybridMultilevel"/>
    <w:tmpl w:val="A69092DE"/>
    <w:lvl w:ilvl="0" w:tplc="E7462662">
      <w:start w:val="1"/>
      <w:numFmt w:val="bullet"/>
      <w:lvlText w:val=""/>
      <w:lvlJc w:val="left"/>
      <w:pPr>
        <w:tabs>
          <w:tab w:val="num" w:pos="900"/>
        </w:tabs>
        <w:ind w:left="540" w:hanging="360"/>
      </w:pPr>
      <w:rPr>
        <w:rFonts w:ascii="Symbol" w:hAnsi="Symbol" w:hint="default"/>
      </w:rPr>
    </w:lvl>
    <w:lvl w:ilvl="1" w:tplc="EF86823E">
      <w:numFmt w:val="decimal"/>
      <w:lvlText w:val=""/>
      <w:lvlJc w:val="left"/>
    </w:lvl>
    <w:lvl w:ilvl="2" w:tplc="0030958C">
      <w:numFmt w:val="decimal"/>
      <w:lvlText w:val=""/>
      <w:lvlJc w:val="left"/>
    </w:lvl>
    <w:lvl w:ilvl="3" w:tplc="B6E05EC8">
      <w:numFmt w:val="decimal"/>
      <w:lvlText w:val=""/>
      <w:lvlJc w:val="left"/>
    </w:lvl>
    <w:lvl w:ilvl="4" w:tplc="A1EA0EBE">
      <w:numFmt w:val="decimal"/>
      <w:lvlText w:val=""/>
      <w:lvlJc w:val="left"/>
    </w:lvl>
    <w:lvl w:ilvl="5" w:tplc="FEFA530E">
      <w:numFmt w:val="decimal"/>
      <w:lvlText w:val=""/>
      <w:lvlJc w:val="left"/>
    </w:lvl>
    <w:lvl w:ilvl="6" w:tplc="BF70E598">
      <w:numFmt w:val="decimal"/>
      <w:lvlText w:val=""/>
      <w:lvlJc w:val="left"/>
    </w:lvl>
    <w:lvl w:ilvl="7" w:tplc="B1F0C7C4">
      <w:numFmt w:val="decimal"/>
      <w:lvlText w:val=""/>
      <w:lvlJc w:val="left"/>
    </w:lvl>
    <w:lvl w:ilvl="8" w:tplc="68A29960">
      <w:numFmt w:val="decimal"/>
      <w:lvlText w:val=""/>
      <w:lvlJc w:val="left"/>
    </w:lvl>
  </w:abstractNum>
  <w:abstractNum w:abstractNumId="82" w15:restartNumberingAfterBreak="0">
    <w:nsid w:val="77E60640"/>
    <w:multiLevelType w:val="hybridMultilevel"/>
    <w:tmpl w:val="037AAE60"/>
    <w:lvl w:ilvl="0" w:tplc="44782070">
      <w:start w:val="1"/>
      <w:numFmt w:val="bullet"/>
      <w:lvlText w:val=""/>
      <w:lvlJc w:val="left"/>
      <w:pPr>
        <w:tabs>
          <w:tab w:val="num" w:pos="900"/>
        </w:tabs>
        <w:ind w:left="540" w:hanging="360"/>
      </w:pPr>
      <w:rPr>
        <w:rFonts w:ascii="Symbol" w:hAnsi="Symbol" w:hint="default"/>
      </w:rPr>
    </w:lvl>
    <w:lvl w:ilvl="1" w:tplc="E2E293A2">
      <w:numFmt w:val="decimal"/>
      <w:lvlText w:val=""/>
      <w:lvlJc w:val="left"/>
    </w:lvl>
    <w:lvl w:ilvl="2" w:tplc="3E8CEECE">
      <w:numFmt w:val="decimal"/>
      <w:lvlText w:val=""/>
      <w:lvlJc w:val="left"/>
    </w:lvl>
    <w:lvl w:ilvl="3" w:tplc="D4F436C6">
      <w:numFmt w:val="decimal"/>
      <w:lvlText w:val=""/>
      <w:lvlJc w:val="left"/>
    </w:lvl>
    <w:lvl w:ilvl="4" w:tplc="D4AA0BC2">
      <w:numFmt w:val="decimal"/>
      <w:lvlText w:val=""/>
      <w:lvlJc w:val="left"/>
    </w:lvl>
    <w:lvl w:ilvl="5" w:tplc="4BAA1CB4">
      <w:numFmt w:val="decimal"/>
      <w:lvlText w:val=""/>
      <w:lvlJc w:val="left"/>
    </w:lvl>
    <w:lvl w:ilvl="6" w:tplc="95DEF4AA">
      <w:numFmt w:val="decimal"/>
      <w:lvlText w:val=""/>
      <w:lvlJc w:val="left"/>
    </w:lvl>
    <w:lvl w:ilvl="7" w:tplc="CEA63CCC">
      <w:numFmt w:val="decimal"/>
      <w:lvlText w:val=""/>
      <w:lvlJc w:val="left"/>
    </w:lvl>
    <w:lvl w:ilvl="8" w:tplc="CAC0C8CC">
      <w:numFmt w:val="decimal"/>
      <w:lvlText w:val=""/>
      <w:lvlJc w:val="left"/>
    </w:lvl>
  </w:abstractNum>
  <w:abstractNum w:abstractNumId="83" w15:restartNumberingAfterBreak="0">
    <w:nsid w:val="7A3E5EB6"/>
    <w:multiLevelType w:val="hybridMultilevel"/>
    <w:tmpl w:val="81A4EB86"/>
    <w:lvl w:ilvl="0" w:tplc="24786C9A">
      <w:start w:val="1"/>
      <w:numFmt w:val="bullet"/>
      <w:lvlText w:val=""/>
      <w:lvlJc w:val="left"/>
      <w:pPr>
        <w:tabs>
          <w:tab w:val="num" w:pos="900"/>
        </w:tabs>
        <w:ind w:left="540" w:hanging="360"/>
      </w:pPr>
      <w:rPr>
        <w:rFonts w:ascii="Symbol" w:hAnsi="Symbol" w:hint="default"/>
      </w:rPr>
    </w:lvl>
    <w:lvl w:ilvl="1" w:tplc="CF7EAB12">
      <w:numFmt w:val="decimal"/>
      <w:lvlText w:val=""/>
      <w:lvlJc w:val="left"/>
    </w:lvl>
    <w:lvl w:ilvl="2" w:tplc="408EEFB6">
      <w:numFmt w:val="decimal"/>
      <w:lvlText w:val=""/>
      <w:lvlJc w:val="left"/>
    </w:lvl>
    <w:lvl w:ilvl="3" w:tplc="D47067E6">
      <w:numFmt w:val="decimal"/>
      <w:lvlText w:val=""/>
      <w:lvlJc w:val="left"/>
    </w:lvl>
    <w:lvl w:ilvl="4" w:tplc="422C091A">
      <w:numFmt w:val="decimal"/>
      <w:lvlText w:val=""/>
      <w:lvlJc w:val="left"/>
    </w:lvl>
    <w:lvl w:ilvl="5" w:tplc="A0B01118">
      <w:numFmt w:val="decimal"/>
      <w:lvlText w:val=""/>
      <w:lvlJc w:val="left"/>
    </w:lvl>
    <w:lvl w:ilvl="6" w:tplc="238E6DBA">
      <w:numFmt w:val="decimal"/>
      <w:lvlText w:val=""/>
      <w:lvlJc w:val="left"/>
    </w:lvl>
    <w:lvl w:ilvl="7" w:tplc="FEA48846">
      <w:numFmt w:val="decimal"/>
      <w:lvlText w:val=""/>
      <w:lvlJc w:val="left"/>
    </w:lvl>
    <w:lvl w:ilvl="8" w:tplc="8D9AAFCC">
      <w:numFmt w:val="decimal"/>
      <w:lvlText w:val=""/>
      <w:lvlJc w:val="left"/>
    </w:lvl>
  </w:abstractNum>
  <w:abstractNum w:abstractNumId="84" w15:restartNumberingAfterBreak="0">
    <w:nsid w:val="7A90444E"/>
    <w:multiLevelType w:val="hybridMultilevel"/>
    <w:tmpl w:val="5C06A5B6"/>
    <w:lvl w:ilvl="0" w:tplc="CADCE11A">
      <w:start w:val="1"/>
      <w:numFmt w:val="bullet"/>
      <w:lvlText w:val=""/>
      <w:lvlJc w:val="left"/>
      <w:pPr>
        <w:tabs>
          <w:tab w:val="num" w:pos="900"/>
        </w:tabs>
        <w:ind w:left="540" w:hanging="360"/>
      </w:pPr>
      <w:rPr>
        <w:rFonts w:ascii="Symbol" w:hAnsi="Symbol" w:hint="default"/>
      </w:rPr>
    </w:lvl>
    <w:lvl w:ilvl="1" w:tplc="4C500906">
      <w:numFmt w:val="decimal"/>
      <w:lvlText w:val=""/>
      <w:lvlJc w:val="left"/>
    </w:lvl>
    <w:lvl w:ilvl="2" w:tplc="9BCEC994">
      <w:numFmt w:val="decimal"/>
      <w:lvlText w:val=""/>
      <w:lvlJc w:val="left"/>
    </w:lvl>
    <w:lvl w:ilvl="3" w:tplc="CA5265F4">
      <w:numFmt w:val="decimal"/>
      <w:lvlText w:val=""/>
      <w:lvlJc w:val="left"/>
    </w:lvl>
    <w:lvl w:ilvl="4" w:tplc="AD8C777A">
      <w:numFmt w:val="decimal"/>
      <w:lvlText w:val=""/>
      <w:lvlJc w:val="left"/>
    </w:lvl>
    <w:lvl w:ilvl="5" w:tplc="0D62D610">
      <w:numFmt w:val="decimal"/>
      <w:lvlText w:val=""/>
      <w:lvlJc w:val="left"/>
    </w:lvl>
    <w:lvl w:ilvl="6" w:tplc="DDEC28D0">
      <w:numFmt w:val="decimal"/>
      <w:lvlText w:val=""/>
      <w:lvlJc w:val="left"/>
    </w:lvl>
    <w:lvl w:ilvl="7" w:tplc="40CC494E">
      <w:numFmt w:val="decimal"/>
      <w:lvlText w:val=""/>
      <w:lvlJc w:val="left"/>
    </w:lvl>
    <w:lvl w:ilvl="8" w:tplc="C1904BB6">
      <w:numFmt w:val="decimal"/>
      <w:lvlText w:val=""/>
      <w:lvlJc w:val="left"/>
    </w:lvl>
  </w:abstractNum>
  <w:abstractNum w:abstractNumId="85" w15:restartNumberingAfterBreak="0">
    <w:nsid w:val="7BBC4185"/>
    <w:multiLevelType w:val="hybridMultilevel"/>
    <w:tmpl w:val="98381482"/>
    <w:lvl w:ilvl="0" w:tplc="46A47C20">
      <w:start w:val="1"/>
      <w:numFmt w:val="bullet"/>
      <w:lvlText w:val=""/>
      <w:lvlJc w:val="left"/>
      <w:pPr>
        <w:tabs>
          <w:tab w:val="num" w:pos="900"/>
        </w:tabs>
        <w:ind w:left="540" w:hanging="360"/>
      </w:pPr>
      <w:rPr>
        <w:rFonts w:ascii="Symbol" w:hAnsi="Symbol" w:hint="default"/>
      </w:rPr>
    </w:lvl>
    <w:lvl w:ilvl="1" w:tplc="67023D2E">
      <w:numFmt w:val="decimal"/>
      <w:lvlText w:val=""/>
      <w:lvlJc w:val="left"/>
    </w:lvl>
    <w:lvl w:ilvl="2" w:tplc="9C481100">
      <w:numFmt w:val="decimal"/>
      <w:lvlText w:val=""/>
      <w:lvlJc w:val="left"/>
    </w:lvl>
    <w:lvl w:ilvl="3" w:tplc="AA1C5E80">
      <w:numFmt w:val="decimal"/>
      <w:lvlText w:val=""/>
      <w:lvlJc w:val="left"/>
    </w:lvl>
    <w:lvl w:ilvl="4" w:tplc="F36E4D86">
      <w:numFmt w:val="decimal"/>
      <w:lvlText w:val=""/>
      <w:lvlJc w:val="left"/>
    </w:lvl>
    <w:lvl w:ilvl="5" w:tplc="6E90FD04">
      <w:numFmt w:val="decimal"/>
      <w:lvlText w:val=""/>
      <w:lvlJc w:val="left"/>
    </w:lvl>
    <w:lvl w:ilvl="6" w:tplc="3AE846AC">
      <w:numFmt w:val="decimal"/>
      <w:lvlText w:val=""/>
      <w:lvlJc w:val="left"/>
    </w:lvl>
    <w:lvl w:ilvl="7" w:tplc="A97EB9FC">
      <w:numFmt w:val="decimal"/>
      <w:lvlText w:val=""/>
      <w:lvlJc w:val="left"/>
    </w:lvl>
    <w:lvl w:ilvl="8" w:tplc="99F4CC04">
      <w:numFmt w:val="decimal"/>
      <w:lvlText w:val=""/>
      <w:lvlJc w:val="left"/>
    </w:lvl>
  </w:abstractNum>
  <w:abstractNum w:abstractNumId="86" w15:restartNumberingAfterBreak="0">
    <w:nsid w:val="7BCF0868"/>
    <w:multiLevelType w:val="hybridMultilevel"/>
    <w:tmpl w:val="44562CA4"/>
    <w:lvl w:ilvl="0" w:tplc="0624F6F6">
      <w:start w:val="1"/>
      <w:numFmt w:val="bullet"/>
      <w:lvlText w:val=""/>
      <w:lvlJc w:val="left"/>
      <w:pPr>
        <w:tabs>
          <w:tab w:val="num" w:pos="900"/>
        </w:tabs>
        <w:ind w:left="540" w:hanging="360"/>
      </w:pPr>
      <w:rPr>
        <w:rFonts w:ascii="Symbol" w:hAnsi="Symbol" w:hint="default"/>
      </w:rPr>
    </w:lvl>
    <w:lvl w:ilvl="1" w:tplc="EFB4676A">
      <w:numFmt w:val="decimal"/>
      <w:lvlText w:val=""/>
      <w:lvlJc w:val="left"/>
    </w:lvl>
    <w:lvl w:ilvl="2" w:tplc="C0FC0C1E">
      <w:numFmt w:val="decimal"/>
      <w:lvlText w:val=""/>
      <w:lvlJc w:val="left"/>
    </w:lvl>
    <w:lvl w:ilvl="3" w:tplc="17CAE802">
      <w:numFmt w:val="decimal"/>
      <w:lvlText w:val=""/>
      <w:lvlJc w:val="left"/>
    </w:lvl>
    <w:lvl w:ilvl="4" w:tplc="571C5D62">
      <w:numFmt w:val="decimal"/>
      <w:lvlText w:val=""/>
      <w:lvlJc w:val="left"/>
    </w:lvl>
    <w:lvl w:ilvl="5" w:tplc="F0FED59E">
      <w:numFmt w:val="decimal"/>
      <w:lvlText w:val=""/>
      <w:lvlJc w:val="left"/>
    </w:lvl>
    <w:lvl w:ilvl="6" w:tplc="CCAA3A6A">
      <w:numFmt w:val="decimal"/>
      <w:lvlText w:val=""/>
      <w:lvlJc w:val="left"/>
    </w:lvl>
    <w:lvl w:ilvl="7" w:tplc="646E6624">
      <w:numFmt w:val="decimal"/>
      <w:lvlText w:val=""/>
      <w:lvlJc w:val="left"/>
    </w:lvl>
    <w:lvl w:ilvl="8" w:tplc="CE648D8E">
      <w:numFmt w:val="decimal"/>
      <w:lvlText w:val=""/>
      <w:lvlJc w:val="left"/>
    </w:lvl>
  </w:abstractNum>
  <w:abstractNum w:abstractNumId="87" w15:restartNumberingAfterBreak="0">
    <w:nsid w:val="7C5D4CAD"/>
    <w:multiLevelType w:val="hybridMultilevel"/>
    <w:tmpl w:val="9C248642"/>
    <w:lvl w:ilvl="0" w:tplc="2F866F02">
      <w:start w:val="1"/>
      <w:numFmt w:val="bullet"/>
      <w:lvlText w:val=""/>
      <w:lvlJc w:val="left"/>
      <w:pPr>
        <w:tabs>
          <w:tab w:val="num" w:pos="900"/>
        </w:tabs>
        <w:ind w:left="540" w:hanging="360"/>
      </w:pPr>
      <w:rPr>
        <w:rFonts w:ascii="Symbol" w:hAnsi="Symbol" w:hint="default"/>
      </w:rPr>
    </w:lvl>
    <w:lvl w:ilvl="1" w:tplc="2804700C">
      <w:numFmt w:val="decimal"/>
      <w:lvlText w:val=""/>
      <w:lvlJc w:val="left"/>
    </w:lvl>
    <w:lvl w:ilvl="2" w:tplc="062AF14C">
      <w:numFmt w:val="decimal"/>
      <w:lvlText w:val=""/>
      <w:lvlJc w:val="left"/>
    </w:lvl>
    <w:lvl w:ilvl="3" w:tplc="7876DCBA">
      <w:numFmt w:val="decimal"/>
      <w:lvlText w:val=""/>
      <w:lvlJc w:val="left"/>
    </w:lvl>
    <w:lvl w:ilvl="4" w:tplc="86A87870">
      <w:numFmt w:val="decimal"/>
      <w:lvlText w:val=""/>
      <w:lvlJc w:val="left"/>
    </w:lvl>
    <w:lvl w:ilvl="5" w:tplc="F856AABC">
      <w:numFmt w:val="decimal"/>
      <w:lvlText w:val=""/>
      <w:lvlJc w:val="left"/>
    </w:lvl>
    <w:lvl w:ilvl="6" w:tplc="5C5EE56A">
      <w:numFmt w:val="decimal"/>
      <w:lvlText w:val=""/>
      <w:lvlJc w:val="left"/>
    </w:lvl>
    <w:lvl w:ilvl="7" w:tplc="D4F2E774">
      <w:numFmt w:val="decimal"/>
      <w:lvlText w:val=""/>
      <w:lvlJc w:val="left"/>
    </w:lvl>
    <w:lvl w:ilvl="8" w:tplc="D8C21948">
      <w:numFmt w:val="decimal"/>
      <w:lvlText w:val=""/>
      <w:lvlJc w:val="left"/>
    </w:lvl>
  </w:abstractNum>
  <w:num w:numId="1" w16cid:durableId="612173861">
    <w:abstractNumId w:val="75"/>
  </w:num>
  <w:num w:numId="2" w16cid:durableId="848328025">
    <w:abstractNumId w:val="39"/>
  </w:num>
  <w:num w:numId="3" w16cid:durableId="139230987">
    <w:abstractNumId w:val="34"/>
  </w:num>
  <w:num w:numId="4" w16cid:durableId="335305583">
    <w:abstractNumId w:val="52"/>
  </w:num>
  <w:num w:numId="5" w16cid:durableId="522090599">
    <w:abstractNumId w:val="10"/>
  </w:num>
  <w:num w:numId="6" w16cid:durableId="1118525394">
    <w:abstractNumId w:val="22"/>
  </w:num>
  <w:num w:numId="7" w16cid:durableId="1390618647">
    <w:abstractNumId w:val="31"/>
  </w:num>
  <w:num w:numId="8" w16cid:durableId="822626030">
    <w:abstractNumId w:val="38"/>
  </w:num>
  <w:num w:numId="9" w16cid:durableId="1677997091">
    <w:abstractNumId w:val="7"/>
  </w:num>
  <w:num w:numId="10" w16cid:durableId="1232279326">
    <w:abstractNumId w:val="37"/>
  </w:num>
  <w:num w:numId="11" w16cid:durableId="1389843629">
    <w:abstractNumId w:val="43"/>
  </w:num>
  <w:num w:numId="12" w16cid:durableId="78719721">
    <w:abstractNumId w:val="62"/>
  </w:num>
  <w:num w:numId="13" w16cid:durableId="628240449">
    <w:abstractNumId w:val="79"/>
  </w:num>
  <w:num w:numId="14" w16cid:durableId="1132166901">
    <w:abstractNumId w:val="76"/>
  </w:num>
  <w:num w:numId="15" w16cid:durableId="1586500725">
    <w:abstractNumId w:val="84"/>
  </w:num>
  <w:num w:numId="16" w16cid:durableId="2106538633">
    <w:abstractNumId w:val="53"/>
  </w:num>
  <w:num w:numId="17" w16cid:durableId="801121173">
    <w:abstractNumId w:val="77"/>
  </w:num>
  <w:num w:numId="18" w16cid:durableId="2102338677">
    <w:abstractNumId w:val="78"/>
  </w:num>
  <w:num w:numId="19" w16cid:durableId="1510293417">
    <w:abstractNumId w:val="42"/>
  </w:num>
  <w:num w:numId="20" w16cid:durableId="1438405981">
    <w:abstractNumId w:val="30"/>
  </w:num>
  <w:num w:numId="21" w16cid:durableId="1466579861">
    <w:abstractNumId w:val="2"/>
  </w:num>
  <w:num w:numId="22" w16cid:durableId="1804730859">
    <w:abstractNumId w:val="18"/>
  </w:num>
  <w:num w:numId="23" w16cid:durableId="1433358988">
    <w:abstractNumId w:val="66"/>
  </w:num>
  <w:num w:numId="24" w16cid:durableId="1228760428">
    <w:abstractNumId w:val="80"/>
  </w:num>
  <w:num w:numId="25" w16cid:durableId="2120832386">
    <w:abstractNumId w:val="20"/>
  </w:num>
  <w:num w:numId="26" w16cid:durableId="116531121">
    <w:abstractNumId w:val="69"/>
  </w:num>
  <w:num w:numId="27" w16cid:durableId="1705714012">
    <w:abstractNumId w:val="55"/>
  </w:num>
  <w:num w:numId="28" w16cid:durableId="1806895823">
    <w:abstractNumId w:val="13"/>
  </w:num>
  <w:num w:numId="29" w16cid:durableId="1029987170">
    <w:abstractNumId w:val="4"/>
  </w:num>
  <w:num w:numId="30" w16cid:durableId="414864039">
    <w:abstractNumId w:val="17"/>
  </w:num>
  <w:num w:numId="31" w16cid:durableId="42559408">
    <w:abstractNumId w:val="9"/>
  </w:num>
  <w:num w:numId="32" w16cid:durableId="1934164831">
    <w:abstractNumId w:val="60"/>
  </w:num>
  <w:num w:numId="33" w16cid:durableId="1138765821">
    <w:abstractNumId w:val="45"/>
  </w:num>
  <w:num w:numId="34" w16cid:durableId="1562134025">
    <w:abstractNumId w:val="26"/>
  </w:num>
  <w:num w:numId="35" w16cid:durableId="781345103">
    <w:abstractNumId w:val="23"/>
  </w:num>
  <w:num w:numId="36" w16cid:durableId="1274245601">
    <w:abstractNumId w:val="56"/>
  </w:num>
  <w:num w:numId="37" w16cid:durableId="2038044804">
    <w:abstractNumId w:val="8"/>
  </w:num>
  <w:num w:numId="38" w16cid:durableId="1818064571">
    <w:abstractNumId w:val="61"/>
  </w:num>
  <w:num w:numId="39" w16cid:durableId="635451578">
    <w:abstractNumId w:val="87"/>
  </w:num>
  <w:num w:numId="40" w16cid:durableId="167065098">
    <w:abstractNumId w:val="5"/>
  </w:num>
  <w:num w:numId="41" w16cid:durableId="2078091988">
    <w:abstractNumId w:val="44"/>
  </w:num>
  <w:num w:numId="42" w16cid:durableId="1380931492">
    <w:abstractNumId w:val="21"/>
  </w:num>
  <w:num w:numId="43" w16cid:durableId="440302005">
    <w:abstractNumId w:val="70"/>
  </w:num>
  <w:num w:numId="44" w16cid:durableId="352651346">
    <w:abstractNumId w:val="49"/>
  </w:num>
  <w:num w:numId="45" w16cid:durableId="576672575">
    <w:abstractNumId w:val="46"/>
  </w:num>
  <w:num w:numId="46" w16cid:durableId="399864795">
    <w:abstractNumId w:val="68"/>
  </w:num>
  <w:num w:numId="47" w16cid:durableId="810484495">
    <w:abstractNumId w:val="72"/>
  </w:num>
  <w:num w:numId="48" w16cid:durableId="1167134008">
    <w:abstractNumId w:val="15"/>
  </w:num>
  <w:num w:numId="49" w16cid:durableId="1182009031">
    <w:abstractNumId w:val="14"/>
  </w:num>
  <w:num w:numId="50" w16cid:durableId="574556483">
    <w:abstractNumId w:val="41"/>
  </w:num>
  <w:num w:numId="51" w16cid:durableId="1120614095">
    <w:abstractNumId w:val="50"/>
  </w:num>
  <w:num w:numId="52" w16cid:durableId="1638759302">
    <w:abstractNumId w:val="64"/>
  </w:num>
  <w:num w:numId="53" w16cid:durableId="1172065503">
    <w:abstractNumId w:val="40"/>
  </w:num>
  <w:num w:numId="54" w16cid:durableId="702830715">
    <w:abstractNumId w:val="85"/>
  </w:num>
  <w:num w:numId="55" w16cid:durableId="2011981758">
    <w:abstractNumId w:val="74"/>
  </w:num>
  <w:num w:numId="56" w16cid:durableId="532231839">
    <w:abstractNumId w:val="63"/>
  </w:num>
  <w:num w:numId="57" w16cid:durableId="1567182444">
    <w:abstractNumId w:val="67"/>
  </w:num>
  <w:num w:numId="58" w16cid:durableId="1862890001">
    <w:abstractNumId w:val="3"/>
  </w:num>
  <w:num w:numId="59" w16cid:durableId="1675842526">
    <w:abstractNumId w:val="24"/>
  </w:num>
  <w:num w:numId="60" w16cid:durableId="237402927">
    <w:abstractNumId w:val="28"/>
  </w:num>
  <w:num w:numId="61" w16cid:durableId="1535071425">
    <w:abstractNumId w:val="83"/>
  </w:num>
  <w:num w:numId="62" w16cid:durableId="778069881">
    <w:abstractNumId w:val="19"/>
  </w:num>
  <w:num w:numId="63" w16cid:durableId="76749815">
    <w:abstractNumId w:val="51"/>
  </w:num>
  <w:num w:numId="64" w16cid:durableId="202328807">
    <w:abstractNumId w:val="1"/>
  </w:num>
  <w:num w:numId="65" w16cid:durableId="556473212">
    <w:abstractNumId w:val="16"/>
  </w:num>
  <w:num w:numId="66" w16cid:durableId="997031547">
    <w:abstractNumId w:val="12"/>
  </w:num>
  <w:num w:numId="67" w16cid:durableId="248272655">
    <w:abstractNumId w:val="57"/>
  </w:num>
  <w:num w:numId="68" w16cid:durableId="1860461968">
    <w:abstractNumId w:val="59"/>
  </w:num>
  <w:num w:numId="69" w16cid:durableId="2134058411">
    <w:abstractNumId w:val="71"/>
  </w:num>
  <w:num w:numId="70" w16cid:durableId="1993025897">
    <w:abstractNumId w:val="32"/>
  </w:num>
  <w:num w:numId="71" w16cid:durableId="1623267054">
    <w:abstractNumId w:val="81"/>
  </w:num>
  <w:num w:numId="72" w16cid:durableId="1381052639">
    <w:abstractNumId w:val="0"/>
  </w:num>
  <w:num w:numId="73" w16cid:durableId="1170490630">
    <w:abstractNumId w:val="36"/>
  </w:num>
  <w:num w:numId="74" w16cid:durableId="182209130">
    <w:abstractNumId w:val="73"/>
  </w:num>
  <w:num w:numId="75" w16cid:durableId="584456150">
    <w:abstractNumId w:val="33"/>
  </w:num>
  <w:num w:numId="76" w16cid:durableId="1518083575">
    <w:abstractNumId w:val="54"/>
  </w:num>
  <w:num w:numId="77" w16cid:durableId="1298073952">
    <w:abstractNumId w:val="86"/>
  </w:num>
  <w:num w:numId="78" w16cid:durableId="1973054535">
    <w:abstractNumId w:val="25"/>
  </w:num>
  <w:num w:numId="79" w16cid:durableId="1017082539">
    <w:abstractNumId w:val="6"/>
  </w:num>
  <w:num w:numId="80" w16cid:durableId="536236413">
    <w:abstractNumId w:val="35"/>
  </w:num>
  <w:num w:numId="81" w16cid:durableId="1593318618">
    <w:abstractNumId w:val="58"/>
  </w:num>
  <w:num w:numId="82" w16cid:durableId="364137994">
    <w:abstractNumId w:val="65"/>
  </w:num>
  <w:num w:numId="83" w16cid:durableId="95518156">
    <w:abstractNumId w:val="11"/>
  </w:num>
  <w:num w:numId="84" w16cid:durableId="1041980007">
    <w:abstractNumId w:val="82"/>
  </w:num>
  <w:num w:numId="85" w16cid:durableId="1975060038">
    <w:abstractNumId w:val="27"/>
  </w:num>
  <w:num w:numId="86" w16cid:durableId="714428606">
    <w:abstractNumId w:val="48"/>
  </w:num>
  <w:num w:numId="87" w16cid:durableId="2014987639">
    <w:abstractNumId w:val="47"/>
  </w:num>
  <w:num w:numId="88" w16cid:durableId="851382362">
    <w:abstractNumId w:val="2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80F"/>
    <w:rsid w:val="00161597"/>
    <w:rsid w:val="001C607F"/>
    <w:rsid w:val="00BA7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292128A"/>
  <w15:docId w15:val="{5E381F50-3605-4EAB-83C3-3BE67417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16/j.enpol.2021.112149" TargetMode="External"/><Relationship Id="rId21" Type="http://schemas.openxmlformats.org/officeDocument/2006/relationships/hyperlink" Target="https://doi.org/10.1371/journal.pone.0272409" TargetMode="External"/><Relationship Id="rId42" Type="http://schemas.openxmlformats.org/officeDocument/2006/relationships/hyperlink" Target="https://doi.org/10.1016/j.resourpol.2012.06.016" TargetMode="External"/><Relationship Id="rId63" Type="http://schemas.openxmlformats.org/officeDocument/2006/relationships/hyperlink" Target="https://doi.org/10.1016/j.erss.2014.07.003" TargetMode="External"/><Relationship Id="rId84" Type="http://schemas.openxmlformats.org/officeDocument/2006/relationships/hyperlink" Target="https://doi.org/10.1080/1523908x.2017.1417120" TargetMode="External"/><Relationship Id="rId138" Type="http://schemas.openxmlformats.org/officeDocument/2006/relationships/hyperlink" Target="https://doi.org/10.1016/j.resourpol.2013.11.003" TargetMode="External"/><Relationship Id="rId107" Type="http://schemas.openxmlformats.org/officeDocument/2006/relationships/hyperlink" Target="https://doi.org/10.5749/minnesota/9780816679645.001.0001" TargetMode="External"/><Relationship Id="rId11" Type="http://schemas.openxmlformats.org/officeDocument/2006/relationships/hyperlink" Target="https://doi.org/10.1111/j.1539-6924.2009.01256.x" TargetMode="External"/><Relationship Id="rId32" Type="http://schemas.openxmlformats.org/officeDocument/2006/relationships/hyperlink" Target="https://doi.org/10.1093/acprof:oso/9780199286294.003.0001" TargetMode="External"/><Relationship Id="rId53" Type="http://schemas.openxmlformats.org/officeDocument/2006/relationships/hyperlink" Target="https://doi.org/10.3167/ares.2018.090104" TargetMode="External"/><Relationship Id="rId74" Type="http://schemas.openxmlformats.org/officeDocument/2006/relationships/hyperlink" Target="https://doi.org/10.1016/j.erss.2018.06.007" TargetMode="External"/><Relationship Id="rId128" Type="http://schemas.openxmlformats.org/officeDocument/2006/relationships/hyperlink" Target="https://doi.org/10.3167/ares.2018.090104" TargetMode="External"/><Relationship Id="rId149" Type="http://schemas.openxmlformats.org/officeDocument/2006/relationships/hyperlink" Target="https://doi.org/10.5749/minnesota/9780816679645.001.0001" TargetMode="External"/><Relationship Id="rId5" Type="http://schemas.openxmlformats.org/officeDocument/2006/relationships/hyperlink" Target="https://doi.org/10.1016/j.erss.2025.104251" TargetMode="External"/><Relationship Id="rId95" Type="http://schemas.openxmlformats.org/officeDocument/2006/relationships/hyperlink" Target="https://doi.org/10.1080/02691728.2014.922639" TargetMode="External"/><Relationship Id="rId22" Type="http://schemas.openxmlformats.org/officeDocument/2006/relationships/hyperlink" Target="https://doi.org/10.1016/j.enpol.2006.12.001" TargetMode="External"/><Relationship Id="rId27" Type="http://schemas.openxmlformats.org/officeDocument/2006/relationships/hyperlink" Target="https://doi.org/10.1016/j.gloenvcha.2017.08.003" TargetMode="External"/><Relationship Id="rId43" Type="http://schemas.openxmlformats.org/officeDocument/2006/relationships/hyperlink" Target="https://doi.org/10.1016/j.exis.2020.05.022" TargetMode="External"/><Relationship Id="rId48" Type="http://schemas.openxmlformats.org/officeDocument/2006/relationships/hyperlink" Target="https://doi.org/10.1016/j.erss.2025.104139" TargetMode="External"/><Relationship Id="rId64" Type="http://schemas.openxmlformats.org/officeDocument/2006/relationships/hyperlink" Target="https://doi.org/10.1080/23251042.2023.2247627" TargetMode="External"/><Relationship Id="rId69" Type="http://schemas.openxmlformats.org/officeDocument/2006/relationships/hyperlink" Target="https://doi.org/10.1016/j.rser.2014.07.017" TargetMode="External"/><Relationship Id="rId113" Type="http://schemas.openxmlformats.org/officeDocument/2006/relationships/hyperlink" Target="https://doi.org/10.1111/cag.12615" TargetMode="External"/><Relationship Id="rId118" Type="http://schemas.openxmlformats.org/officeDocument/2006/relationships/hyperlink" Target="https://doi.org/10.1016/j.gloenvcha.2015.06.014" TargetMode="External"/><Relationship Id="rId134" Type="http://schemas.openxmlformats.org/officeDocument/2006/relationships/hyperlink" Target="https://doi.org/10.1080/23251042.2023.2247627" TargetMode="External"/><Relationship Id="rId139" Type="http://schemas.openxmlformats.org/officeDocument/2006/relationships/hyperlink" Target="https://doi.org/10.1016/j.erss.2019.101393" TargetMode="External"/><Relationship Id="rId80" Type="http://schemas.openxmlformats.org/officeDocument/2006/relationships/hyperlink" Target="https://doi.org/10.1016/j.enpol.2006.12.001" TargetMode="External"/><Relationship Id="rId85" Type="http://schemas.openxmlformats.org/officeDocument/2006/relationships/hyperlink" Target="https://doi.org/10.1016/j.erss.2019.101396" TargetMode="External"/><Relationship Id="rId150" Type="http://schemas.openxmlformats.org/officeDocument/2006/relationships/fontTable" Target="fontTable.xml"/><Relationship Id="rId12" Type="http://schemas.openxmlformats.org/officeDocument/2006/relationships/hyperlink" Target="https://doi.org/10.1080/13669877.2026.2636954" TargetMode="External"/><Relationship Id="rId17" Type="http://schemas.openxmlformats.org/officeDocument/2006/relationships/hyperlink" Target="https://doi.org/10.1016/j.erss.2022.102606" TargetMode="External"/><Relationship Id="rId33" Type="http://schemas.openxmlformats.org/officeDocument/2006/relationships/hyperlink" Target="https://doi.org/10.1016/j.enpol.2012.01.044" TargetMode="External"/><Relationship Id="rId38" Type="http://schemas.openxmlformats.org/officeDocument/2006/relationships/hyperlink" Target="https://doi.org/10.1080/13549839.2012.759337" TargetMode="External"/><Relationship Id="rId59" Type="http://schemas.openxmlformats.org/officeDocument/2006/relationships/hyperlink" Target="https://doi.org/10.1038/s41558-024-02023-0" TargetMode="External"/><Relationship Id="rId103" Type="http://schemas.openxmlformats.org/officeDocument/2006/relationships/hyperlink" Target="https://doi.org/10.1016/j.erss.2024.103552" TargetMode="External"/><Relationship Id="rId108" Type="http://schemas.openxmlformats.org/officeDocument/2006/relationships/hyperlink" Target="https://www.versobooks.com/products/our-history-is-the-future" TargetMode="External"/><Relationship Id="rId124" Type="http://schemas.openxmlformats.org/officeDocument/2006/relationships/hyperlink" Target="https://doi.org/10.1007/s13280-024-02074-9" TargetMode="External"/><Relationship Id="rId129" Type="http://schemas.openxmlformats.org/officeDocument/2006/relationships/hyperlink" Target="https://doi.org/10.1038/s41558-024-02023-0" TargetMode="External"/><Relationship Id="rId54" Type="http://schemas.openxmlformats.org/officeDocument/2006/relationships/hyperlink" Target="https://doi.org/10.1080/01436597.2016.1238761" TargetMode="External"/><Relationship Id="rId70" Type="http://schemas.openxmlformats.org/officeDocument/2006/relationships/hyperlink" Target="https://doi.org/10.1111/j.1539-6924.2009.01256.x" TargetMode="External"/><Relationship Id="rId75" Type="http://schemas.openxmlformats.org/officeDocument/2006/relationships/hyperlink" Target="https://doi.org/10.3389/fmars.2023.1154543" TargetMode="External"/><Relationship Id="rId91" Type="http://schemas.openxmlformats.org/officeDocument/2006/relationships/hyperlink" Target="https://doi.org/10.1016/j.apenergy.2018.10.005" TargetMode="External"/><Relationship Id="rId96" Type="http://schemas.openxmlformats.org/officeDocument/2006/relationships/hyperlink" Target="https://doi.org/10.1016/j.resourpol.2012.04.002" TargetMode="External"/><Relationship Id="rId140" Type="http://schemas.openxmlformats.org/officeDocument/2006/relationships/hyperlink" Target="https://doi.org/10.1080/13669877.2026.2636954" TargetMode="External"/><Relationship Id="rId145" Type="http://schemas.openxmlformats.org/officeDocument/2006/relationships/hyperlink" Target="https://doi.org/10.1016/j.erss.2020.101657" TargetMode="External"/><Relationship Id="rId1" Type="http://schemas.openxmlformats.org/officeDocument/2006/relationships/numbering" Target="numbering.xml"/><Relationship Id="rId6" Type="http://schemas.openxmlformats.org/officeDocument/2006/relationships/hyperlink" Target="https://doi.org/10.1038/s41560-019-0399-x" TargetMode="External"/><Relationship Id="rId23" Type="http://schemas.openxmlformats.org/officeDocument/2006/relationships/hyperlink" Target="https://doi.org/10.1111/j.1475-5661.2006.00191.x" TargetMode="External"/><Relationship Id="rId28" Type="http://schemas.openxmlformats.org/officeDocument/2006/relationships/hyperlink" Target="https://doi.org/10.1016/j.erss.2019.101396" TargetMode="External"/><Relationship Id="rId49" Type="http://schemas.openxmlformats.org/officeDocument/2006/relationships/hyperlink" Target="https://doi.org/10.1016/j.exis.2018.05.004" TargetMode="External"/><Relationship Id="rId114" Type="http://schemas.openxmlformats.org/officeDocument/2006/relationships/hyperlink" Target="https://doi.org/10.1177/25148486211052875" TargetMode="External"/><Relationship Id="rId119" Type="http://schemas.openxmlformats.org/officeDocument/2006/relationships/hyperlink" Target="https://doi.org/10.1016/j.enpol.2017.04.043" TargetMode="External"/><Relationship Id="rId44" Type="http://schemas.openxmlformats.org/officeDocument/2006/relationships/hyperlink" Target="https://doi.org/10.1016/j.jclepro.2014.08.020" TargetMode="External"/><Relationship Id="rId60" Type="http://schemas.openxmlformats.org/officeDocument/2006/relationships/hyperlink" Target="https://doi.org/10.1016/j.enpol.2021.112149" TargetMode="External"/><Relationship Id="rId65" Type="http://schemas.openxmlformats.org/officeDocument/2006/relationships/hyperlink" Target="https://doi.org/10.1016/j.erss.2019.101393" TargetMode="External"/><Relationship Id="rId81" Type="http://schemas.openxmlformats.org/officeDocument/2006/relationships/hyperlink" Target="https://doi.org/10.1111/j.1475-5661.2006.00191.x" TargetMode="External"/><Relationship Id="rId86" Type="http://schemas.openxmlformats.org/officeDocument/2006/relationships/hyperlink" Target="https://doi.org/10.1016/j.erss.2020.101657" TargetMode="External"/><Relationship Id="rId130" Type="http://schemas.openxmlformats.org/officeDocument/2006/relationships/hyperlink" Target="https://doi.org/10.1016/j.enpol.2021.112149" TargetMode="External"/><Relationship Id="rId135" Type="http://schemas.openxmlformats.org/officeDocument/2006/relationships/hyperlink" Target="https://doi.org/10.1007/s13280-024-02074-9" TargetMode="External"/><Relationship Id="rId151" Type="http://schemas.openxmlformats.org/officeDocument/2006/relationships/theme" Target="theme/theme1.xml"/><Relationship Id="rId13" Type="http://schemas.openxmlformats.org/officeDocument/2006/relationships/hyperlink" Target="https://doi.org/10.1111/risa.13717" TargetMode="External"/><Relationship Id="rId18" Type="http://schemas.openxmlformats.org/officeDocument/2006/relationships/hyperlink" Target="https://doi.org/10.1016/j.erss.2018.06.007" TargetMode="External"/><Relationship Id="rId39" Type="http://schemas.openxmlformats.org/officeDocument/2006/relationships/hyperlink" Target="https://doi.org/10.1016/j.resourpol.2012.04.002" TargetMode="External"/><Relationship Id="rId109" Type="http://schemas.openxmlformats.org/officeDocument/2006/relationships/hyperlink" Target="https://www.beacon.org/As-Long-as-Grass-Grows-P1230.aspx" TargetMode="External"/><Relationship Id="rId34" Type="http://schemas.openxmlformats.org/officeDocument/2006/relationships/hyperlink" Target="https://doi.org/10.1016/j.apenergy.2015.01.002" TargetMode="External"/><Relationship Id="rId50" Type="http://schemas.openxmlformats.org/officeDocument/2006/relationships/hyperlink" Target="https://doi.org/10.3167/ares.2018.090109" TargetMode="External"/><Relationship Id="rId55" Type="http://schemas.openxmlformats.org/officeDocument/2006/relationships/hyperlink" Target="https://doi.org/10.1080/13549839.2018.1536698" TargetMode="External"/><Relationship Id="rId76" Type="http://schemas.openxmlformats.org/officeDocument/2006/relationships/hyperlink" Target="https://doi.org/10.1111/risa.13717" TargetMode="External"/><Relationship Id="rId97" Type="http://schemas.openxmlformats.org/officeDocument/2006/relationships/hyperlink" Target="https://doi.org/10.1016/j.resourpol.2012.06.016" TargetMode="External"/><Relationship Id="rId104" Type="http://schemas.openxmlformats.org/officeDocument/2006/relationships/hyperlink" Target="https://doi.org/10.1016/j.erss.2025.104139" TargetMode="External"/><Relationship Id="rId120" Type="http://schemas.openxmlformats.org/officeDocument/2006/relationships/hyperlink" Target="https://doi.org/10.3390/su12198084" TargetMode="External"/><Relationship Id="rId125" Type="http://schemas.openxmlformats.org/officeDocument/2006/relationships/hyperlink" Target="https://doi.org/10.1038/s41560-019-0399-x" TargetMode="External"/><Relationship Id="rId141" Type="http://schemas.openxmlformats.org/officeDocument/2006/relationships/hyperlink" Target="https://doi.org/10.1016/j.gloenvcha.2015.06.014" TargetMode="External"/><Relationship Id="rId146" Type="http://schemas.openxmlformats.org/officeDocument/2006/relationships/hyperlink" Target="https://doi.org/10.1080/23251042.2023.2247627" TargetMode="External"/><Relationship Id="rId7" Type="http://schemas.openxmlformats.org/officeDocument/2006/relationships/hyperlink" Target="https://doi.org/10.1080/1523908x.2017.1417120" TargetMode="External"/><Relationship Id="rId71" Type="http://schemas.openxmlformats.org/officeDocument/2006/relationships/hyperlink" Target="https://doi.org/10.1111/risa.12119" TargetMode="External"/><Relationship Id="rId92" Type="http://schemas.openxmlformats.org/officeDocument/2006/relationships/hyperlink" Target="https://doi.org/10.1016/j.enpol.2012.01.044" TargetMode="External"/><Relationship Id="rId2" Type="http://schemas.openxmlformats.org/officeDocument/2006/relationships/styles" Target="styles.xml"/><Relationship Id="rId29" Type="http://schemas.openxmlformats.org/officeDocument/2006/relationships/hyperlink" Target="https://doi.org/10.1016/j.erss.2020.101657" TargetMode="External"/><Relationship Id="rId24" Type="http://schemas.openxmlformats.org/officeDocument/2006/relationships/hyperlink" Target="https://doi.org/10.1002/casp.1004" TargetMode="External"/><Relationship Id="rId40" Type="http://schemas.openxmlformats.org/officeDocument/2006/relationships/hyperlink" Target="https://doi.org/10.1016/j.resourpol.2013.11.003" TargetMode="External"/><Relationship Id="rId45" Type="http://schemas.openxmlformats.org/officeDocument/2006/relationships/hyperlink" Target="https://doi.org/10.1016/j.ijggc.2017.11.003" TargetMode="External"/><Relationship Id="rId66" Type="http://schemas.openxmlformats.org/officeDocument/2006/relationships/hyperlink" Target="https://doi.org/10.1016/j.resourpol.2013.11.003" TargetMode="External"/><Relationship Id="rId87" Type="http://schemas.openxmlformats.org/officeDocument/2006/relationships/hyperlink" Target="https://doi.org/10.1016/j.erss.2015.10.004" TargetMode="External"/><Relationship Id="rId110" Type="http://schemas.openxmlformats.org/officeDocument/2006/relationships/hyperlink" Target="https://doi.org/10.3167/ares.2018.090104" TargetMode="External"/><Relationship Id="rId115" Type="http://schemas.openxmlformats.org/officeDocument/2006/relationships/hyperlink" Target="https://doi.org/10.1057/s41599-019-0217-x" TargetMode="External"/><Relationship Id="rId131" Type="http://schemas.openxmlformats.org/officeDocument/2006/relationships/hyperlink" Target="https://doi.org/10.1057/s41599-019-0217-x" TargetMode="External"/><Relationship Id="rId136" Type="http://schemas.openxmlformats.org/officeDocument/2006/relationships/hyperlink" Target="https://doi.org/10.3389/fmars.2023.1154543" TargetMode="External"/><Relationship Id="rId61" Type="http://schemas.openxmlformats.org/officeDocument/2006/relationships/hyperlink" Target="https://doi.org/10.1016/j.enpol.2017.04.043" TargetMode="External"/><Relationship Id="rId82" Type="http://schemas.openxmlformats.org/officeDocument/2006/relationships/hyperlink" Target="https://doi.org/10.1002/casp.1004" TargetMode="External"/><Relationship Id="rId19" Type="http://schemas.openxmlformats.org/officeDocument/2006/relationships/hyperlink" Target="https://doi.org/10.1016/j.ijggc.2017.11.003" TargetMode="External"/><Relationship Id="rId14" Type="http://schemas.openxmlformats.org/officeDocument/2006/relationships/hyperlink" Target="https://doi.org/10.3389/fmars.2023.1154543" TargetMode="External"/><Relationship Id="rId30" Type="http://schemas.openxmlformats.org/officeDocument/2006/relationships/hyperlink" Target="https://doi.org/10.1016/j.erss.2015.10.004" TargetMode="External"/><Relationship Id="rId35" Type="http://schemas.openxmlformats.org/officeDocument/2006/relationships/hyperlink" Target="https://doi.org/10.1038/nenergy.2016.24" TargetMode="External"/><Relationship Id="rId56" Type="http://schemas.openxmlformats.org/officeDocument/2006/relationships/hyperlink" Target="https://doi.org/10.1111/cag.12615" TargetMode="External"/><Relationship Id="rId77" Type="http://schemas.openxmlformats.org/officeDocument/2006/relationships/hyperlink" Target="https://doi.org/10.1016/j.erss.2025.104251" TargetMode="External"/><Relationship Id="rId100" Type="http://schemas.openxmlformats.org/officeDocument/2006/relationships/hyperlink" Target="https://doi.org/10.1111/capa.12218" TargetMode="External"/><Relationship Id="rId105" Type="http://schemas.openxmlformats.org/officeDocument/2006/relationships/hyperlink" Target="https://doi.org/10.3167/ares.2018.090109" TargetMode="External"/><Relationship Id="rId126" Type="http://schemas.openxmlformats.org/officeDocument/2006/relationships/hyperlink" Target="https://doi.org/10.1016/j.erss.2022.102606" TargetMode="External"/><Relationship Id="rId147" Type="http://schemas.openxmlformats.org/officeDocument/2006/relationships/hyperlink" Target="https://doi.org/10.1016/j.erss.2019.101396" TargetMode="External"/><Relationship Id="rId8" Type="http://schemas.openxmlformats.org/officeDocument/2006/relationships/hyperlink" Target="https://doi.org/10.1016/j.erss.2025.104251" TargetMode="External"/><Relationship Id="rId51" Type="http://schemas.openxmlformats.org/officeDocument/2006/relationships/hyperlink" Target="https://doi.org/10.1002/wcc.603" TargetMode="External"/><Relationship Id="rId72" Type="http://schemas.openxmlformats.org/officeDocument/2006/relationships/hyperlink" Target="https://doi.org/10.1016/j.ijggc.2017.11.003" TargetMode="External"/><Relationship Id="rId93" Type="http://schemas.openxmlformats.org/officeDocument/2006/relationships/hyperlink" Target="https://doi.org/10.1086/652233" TargetMode="External"/><Relationship Id="rId98" Type="http://schemas.openxmlformats.org/officeDocument/2006/relationships/hyperlink" Target="https://doi.org/10.1016/j.resourpol.2013.11.003" TargetMode="External"/><Relationship Id="rId121" Type="http://schemas.openxmlformats.org/officeDocument/2006/relationships/hyperlink" Target="https://doi.org/10.1016/j.erss.2014.07.003" TargetMode="External"/><Relationship Id="rId142" Type="http://schemas.openxmlformats.org/officeDocument/2006/relationships/hyperlink" Target="https://doi.org/10.1016/j.ijggc.2017.11.003" TargetMode="External"/><Relationship Id="rId3" Type="http://schemas.openxmlformats.org/officeDocument/2006/relationships/settings" Target="settings.xml"/><Relationship Id="rId25" Type="http://schemas.openxmlformats.org/officeDocument/2006/relationships/hyperlink" Target="https://doi.org/10.1080/1523908x.2017.1417120" TargetMode="External"/><Relationship Id="rId46" Type="http://schemas.openxmlformats.org/officeDocument/2006/relationships/hyperlink" Target="https://doi.org/10.1080/02691728.2014.922639" TargetMode="External"/><Relationship Id="rId67" Type="http://schemas.openxmlformats.org/officeDocument/2006/relationships/hyperlink" Target="https://doi.org/10.1007/s13280-024-02074-9" TargetMode="External"/><Relationship Id="rId116" Type="http://schemas.openxmlformats.org/officeDocument/2006/relationships/hyperlink" Target="https://doi.org/10.1038/s41558-024-02023-0" TargetMode="External"/><Relationship Id="rId137" Type="http://schemas.openxmlformats.org/officeDocument/2006/relationships/hyperlink" Target="https://doi.org/10.3390/su12198084" TargetMode="External"/><Relationship Id="rId20" Type="http://schemas.openxmlformats.org/officeDocument/2006/relationships/hyperlink" Target="https://doi.org/10.1016/j.ijggc.2018.07.030" TargetMode="External"/><Relationship Id="rId41" Type="http://schemas.openxmlformats.org/officeDocument/2006/relationships/hyperlink" Target="https://doi.org/10.1111/capa.12218" TargetMode="External"/><Relationship Id="rId62" Type="http://schemas.openxmlformats.org/officeDocument/2006/relationships/hyperlink" Target="https://doi.org/10.3390/su12198084" TargetMode="External"/><Relationship Id="rId83" Type="http://schemas.openxmlformats.org/officeDocument/2006/relationships/hyperlink" Target="https://doi.org/10.1016/j.gloenvcha.2017.08.003" TargetMode="External"/><Relationship Id="rId88" Type="http://schemas.openxmlformats.org/officeDocument/2006/relationships/hyperlink" Target="https://doi.org/10.1016/j.apenergy.2015.01.002" TargetMode="External"/><Relationship Id="rId111" Type="http://schemas.openxmlformats.org/officeDocument/2006/relationships/hyperlink" Target="https://doi.org/10.1080/01436597.2016.1238761" TargetMode="External"/><Relationship Id="rId132" Type="http://schemas.openxmlformats.org/officeDocument/2006/relationships/hyperlink" Target="https://doi.org/10.1016/j.enpol.2017.04.043" TargetMode="External"/><Relationship Id="rId15" Type="http://schemas.openxmlformats.org/officeDocument/2006/relationships/hyperlink" Target="https://doi.org/10.1111/risa.12119" TargetMode="External"/><Relationship Id="rId36" Type="http://schemas.openxmlformats.org/officeDocument/2006/relationships/hyperlink" Target="https://doi.org/10.1016/j.enpol.2018.02.036" TargetMode="External"/><Relationship Id="rId57" Type="http://schemas.openxmlformats.org/officeDocument/2006/relationships/hyperlink" Target="https://doi.org/10.1177/25148486211052875" TargetMode="External"/><Relationship Id="rId106" Type="http://schemas.openxmlformats.org/officeDocument/2006/relationships/hyperlink" Target="https://doi.org/10.1002/wcc.603" TargetMode="External"/><Relationship Id="rId127" Type="http://schemas.openxmlformats.org/officeDocument/2006/relationships/hyperlink" Target="https://doi.org/10.1016/j.erss.2018.06.007" TargetMode="External"/><Relationship Id="rId10" Type="http://schemas.openxmlformats.org/officeDocument/2006/relationships/hyperlink" Target="https://doi.org/10.1021/es052010b" TargetMode="External"/><Relationship Id="rId31" Type="http://schemas.openxmlformats.org/officeDocument/2006/relationships/hyperlink" Target="https://doi.org/10.1086/652233" TargetMode="External"/><Relationship Id="rId52" Type="http://schemas.openxmlformats.org/officeDocument/2006/relationships/hyperlink" Target="https://doi.org/10.5749/minnesota/9780816679645.001.0001" TargetMode="External"/><Relationship Id="rId73" Type="http://schemas.openxmlformats.org/officeDocument/2006/relationships/hyperlink" Target="https://doi.org/10.1016/j.erss.2022.102606" TargetMode="External"/><Relationship Id="rId78" Type="http://schemas.openxmlformats.org/officeDocument/2006/relationships/hyperlink" Target="https://doi.org/10.1080/13669877.2026.2636954" TargetMode="External"/><Relationship Id="rId94" Type="http://schemas.openxmlformats.org/officeDocument/2006/relationships/hyperlink" Target="https://doi.org/10.1093/acprof:oso/9780199286294.001.0001" TargetMode="External"/><Relationship Id="rId99" Type="http://schemas.openxmlformats.org/officeDocument/2006/relationships/hyperlink" Target="https://doi.org/10.1016/j.jclepro.2014.08.020" TargetMode="External"/><Relationship Id="rId101" Type="http://schemas.openxmlformats.org/officeDocument/2006/relationships/hyperlink" Target="https://doi.org/10.1016/j.exis.2018.05.004" TargetMode="External"/><Relationship Id="rId122" Type="http://schemas.openxmlformats.org/officeDocument/2006/relationships/hyperlink" Target="https://doi.org/10.1016/j.erss.2019.101393" TargetMode="External"/><Relationship Id="rId143" Type="http://schemas.openxmlformats.org/officeDocument/2006/relationships/hyperlink" Target="https://doi.org/10.1111/risa.12119" TargetMode="External"/><Relationship Id="rId148" Type="http://schemas.openxmlformats.org/officeDocument/2006/relationships/hyperlink" Target="https://doi.org/10.1093/acprof:oso/9780199286294.001.0001" TargetMode="External"/><Relationship Id="rId4" Type="http://schemas.openxmlformats.org/officeDocument/2006/relationships/webSettings" Target="webSettings.xml"/><Relationship Id="rId9" Type="http://schemas.openxmlformats.org/officeDocument/2006/relationships/hyperlink" Target="https://doi.org/10.1016/j.rser.2014.07.017" TargetMode="External"/><Relationship Id="rId26" Type="http://schemas.openxmlformats.org/officeDocument/2006/relationships/hyperlink" Target="https://doi.org/10.1016/j.jenvp.2010.01.008" TargetMode="External"/><Relationship Id="rId47" Type="http://schemas.openxmlformats.org/officeDocument/2006/relationships/hyperlink" Target="https://doi.org/10.1016/j.erss.2024.103552" TargetMode="External"/><Relationship Id="rId68" Type="http://schemas.openxmlformats.org/officeDocument/2006/relationships/hyperlink" Target="https://doi.org/10.1016/j.gloenvcha.2015.06.014" TargetMode="External"/><Relationship Id="rId89" Type="http://schemas.openxmlformats.org/officeDocument/2006/relationships/hyperlink" Target="https://doi.org/10.1038/nenergy.2016.24" TargetMode="External"/><Relationship Id="rId112" Type="http://schemas.openxmlformats.org/officeDocument/2006/relationships/hyperlink" Target="https://doi.org/10.1080/13549839.2018.1536698" TargetMode="External"/><Relationship Id="rId133" Type="http://schemas.openxmlformats.org/officeDocument/2006/relationships/hyperlink" Target="https://doi.org/10.1016/j.erss.2014.07.003" TargetMode="External"/><Relationship Id="rId16" Type="http://schemas.openxmlformats.org/officeDocument/2006/relationships/hyperlink" Target="https://doi.org/10.1016/j.marpol.2017.06.015" TargetMode="External"/><Relationship Id="rId37" Type="http://schemas.openxmlformats.org/officeDocument/2006/relationships/hyperlink" Target="https://doi.org/10.1016/j.apenergy.2018.10.005" TargetMode="External"/><Relationship Id="rId58" Type="http://schemas.openxmlformats.org/officeDocument/2006/relationships/hyperlink" Target="https://doi.org/10.1057/s41599-019-0217-x" TargetMode="External"/><Relationship Id="rId79" Type="http://schemas.openxmlformats.org/officeDocument/2006/relationships/hyperlink" Target="https://doi.org/10.1016/j.marpol.2017.06.015" TargetMode="External"/><Relationship Id="rId102" Type="http://schemas.openxmlformats.org/officeDocument/2006/relationships/hyperlink" Target="https://doi.org/10.1016/j.exis.2020.05.022" TargetMode="External"/><Relationship Id="rId123" Type="http://schemas.openxmlformats.org/officeDocument/2006/relationships/hyperlink" Target="https://doi.org/10.1080/23251042.2023.2247627" TargetMode="External"/><Relationship Id="rId144" Type="http://schemas.openxmlformats.org/officeDocument/2006/relationships/hyperlink" Target="https://doi.org/10.3389/fmars.2023.1154543" TargetMode="External"/><Relationship Id="rId90" Type="http://schemas.openxmlformats.org/officeDocument/2006/relationships/hyperlink" Target="https://doi.org/10.1016/j.enpol.2018.02.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10389</Words>
  <Characters>59218</Characters>
  <Application>Microsoft Office Word</Application>
  <DocSecurity>0</DocSecurity>
  <Lines>493</Lines>
  <Paragraphs>138</Paragraphs>
  <ScaleCrop>false</ScaleCrop>
  <Company/>
  <LinksUpToDate>false</LinksUpToDate>
  <CharactersWithSpaces>69469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Britton Leggett</cp:lastModifiedBy>
  <cp:revision>2</cp:revision>
  <dcterms:created xsi:type="dcterms:W3CDTF">2026-05-22T15:04:00Z</dcterms:created>
  <dcterms:modified xsi:type="dcterms:W3CDTF">2026-05-22T15:04:00Z</dcterms:modified>
</cp:coreProperties>
</file>