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MCNEESE STATE UNIVERSITY</w:t>
      </w:r>
    </w:p>
    <w:p>
      <w:pPr>
        <w:jc w:val="center"/>
      </w:pPr>
      <w:r>
        <w:rPr>
          <w:b/>
          <w:sz w:val="26"/>
        </w:rPr>
        <w:t>Human Subjects Institutional Review Board</w:t>
        <w:br/>
        <w:t>IRB APPLICATION PACKAGE (DRAFT v2)</w:t>
      </w:r>
    </w:p>
    <w:p>
      <w:pPr>
        <w:jc w:val="center"/>
      </w:pPr>
      <w:r>
        <w:rPr>
          <w:i/>
          <w:sz w:val="24"/>
        </w:rPr>
        <w:t>Consumer Responses to Tariff-Related Price Increase Messaging</w:t>
      </w:r>
    </w:p>
    <w:p/>
    <w:p>
      <w:r>
        <w:rPr>
          <w:b w:val="0"/>
          <w:i w:val="0"/>
        </w:rPr>
        <w:t>Principal Investigator: Britton R. Leggett</w:t>
      </w:r>
    </w:p>
    <w:p>
      <w:r>
        <w:rPr>
          <w:b w:val="0"/>
          <w:i w:val="0"/>
        </w:rPr>
        <w:t>Department: College of Business, McNeese State University</w:t>
      </w:r>
    </w:p>
    <w:p>
      <w:r>
        <w:rPr>
          <w:b w:val="0"/>
          <w:i w:val="0"/>
        </w:rPr>
        <w:t>Campus Address: Burton Business Center, 4205 Ryan Street, Lake Charles, LA 70605</w:t>
      </w:r>
    </w:p>
    <w:p>
      <w:r>
        <w:rPr>
          <w:b w:val="0"/>
          <w:i w:val="0"/>
        </w:rPr>
        <w:t>Email: bleggett1@mcneese.edu</w:t>
      </w:r>
    </w:p>
    <w:p>
      <w:r>
        <w:rPr>
          <w:b w:val="0"/>
          <w:i w:val="0"/>
        </w:rPr>
        <w:t>Phone: 337-475-5578 (ext. 5578)</w:t>
      </w:r>
    </w:p>
    <w:p>
      <w:r>
        <w:rPr>
          <w:b w:val="0"/>
          <w:i w:val="0"/>
        </w:rPr>
        <w:t>IRB Chair: Dr. Eddie Lyons | irbchair@mcneese.edu | 337-475-4077</w:t>
      </w:r>
    </w:p>
    <w:p>
      <w:r>
        <w:rPr>
          <w:b w:val="0"/>
          <w:i w:val="0"/>
        </w:rPr>
        <w:t>Date Prepared: 2026-08-04 (DRAFT -- pending PI review, CITI cert info, exact scale wording)</w:t>
      </w:r>
    </w:p>
    <w:p>
      <w:r>
        <w:rPr>
          <w:b w:val="0"/>
          <w:i w:val="0"/>
        </w:rPr>
        <w:t>Version: 2.0 -- supersedes the 4-cell single-factor design in v1.0</w:t>
      </w:r>
    </w:p>
    <w:p>
      <w:r>
        <w:br w:type="page"/>
      </w:r>
    </w:p>
    <w:p>
      <w:pPr>
        <w:pStyle w:val="Heading1"/>
      </w:pPr>
      <w:r>
        <w:t>Revision Note (v1.0 to v2.0)</w:t>
      </w:r>
    </w:p>
    <w:p>
      <w:r>
        <w:rPr>
          <w:b w:val="0"/>
          <w:i w:val="0"/>
        </w:rPr>
        <w:t>The prior draft used a single 4-level factor (silence / neutral tariff / gain-framed mitigation / loss-framed consequence, Study 2 target N=300). This version replaces it with a 3x2 between-subjects factorial -- Attribution Frame (tariff-explicit / general-cost-explicit / silent) x Cost-Response (full pass-through / shared-burden absorption) -- that Study 1's actual coded corpus themes independently validated. It also adds an explicit Pretest phase (N=150-180) that the prior draft did not cover, and updates the measured-construct list to a leaner model: Perceived Price Fairness, Perceived Opportunism, Trust in the Company, Purchase Intention, and Word-of-Mouth Intention. Fictional brand name ("Meridian Home") is unchanged for continuity.</w:t>
      </w:r>
    </w:p>
    <w:p>
      <w:pPr>
        <w:pStyle w:val="Heading1"/>
      </w:pPr>
      <w:r>
        <w:t>Section 1: HSIRB Application Form Responses (Questions 1-10)</w:t>
      </w:r>
    </w:p>
    <w:p>
      <w:pPr>
        <w:pStyle w:val="Heading2"/>
      </w:pPr>
      <w:r>
        <w:t>Question 1 -- Type of Project</w:t>
      </w:r>
    </w:p>
    <w:p>
      <w:r>
        <w:rPr>
          <w:b w:val="0"/>
          <w:i w:val="0"/>
        </w:rPr>
        <w:t>Academic faculty research project in the Department of Marketing, College of Business, McNeese State University. Not conducted in fulfillment of a course requirement; not sponsored by an external agency. Designed to generate findings for submission to the Journal of Consumer Marketing special issue "Crafting Shape in a Fluid World" (guest editors Kevin James, Janna Parker, Hyunju Shin), coordinated with the 2026 AMS Annual Conference.</w:t>
      </w:r>
    </w:p>
    <w:p>
      <w:pPr>
        <w:pStyle w:val="Heading2"/>
      </w:pPr>
      <w:r>
        <w:t>Question 2 -- Funding</w:t>
      </w:r>
    </w:p>
    <w:p>
      <w:r>
        <w:rPr>
          <w:b w:val="0"/>
          <w:i w:val="0"/>
        </w:rPr>
        <w:t>Currently unfunded. No external grants, contracts, or sponsored research agreements. Participant compensation funded through the investigator's Prolific researcher account. If funding is obtained, an amendment will be submitted.</w:t>
      </w:r>
    </w:p>
    <w:p>
      <w:pPr>
        <w:pStyle w:val="Heading2"/>
      </w:pPr>
      <w:r>
        <w:t>Question 3 -- Date to Begin Data Collection</w:t>
      </w:r>
    </w:p>
    <w:p>
      <w:r>
        <w:rPr>
          <w:b w:val="0"/>
          <w:i w:val="0"/>
        </w:rPr>
        <w:t>Anticipated start: as soon as written IRB exempt confirmation is received -- target 2026-08-25 (placeholder; actual date depends on HSIRB turnaround, not yet confirmed). Study 1 does not involve human subjects and may proceed independently of this timeline; the investigator will still await written confirmation that Study 1 is excluded before treating it as formally cleared.</w:t>
      </w:r>
    </w:p>
    <w:p>
      <w:pPr>
        <w:pStyle w:val="Heading2"/>
      </w:pPr>
      <w:r>
        <w:t>Question 4 -- Anticipated Date of Completion</w:t>
      </w:r>
    </w:p>
    <w:p>
      <w:r>
        <w:rPr>
          <w:b w:val="0"/>
          <w:i w:val="0"/>
        </w:rPr>
        <w:t>All three human-subjects phases (Pretest, then Study 2, then Study 3) targeted for completion by 2026-09-15. This is a tight sequence: the pretest must run, be analyzed, and (if needed) trigger vignette revisions before Study 2 can launch; only Study 3 can run in parallel with the other two, since it involves no experimental manipulation. If HSIRB turnaround runs past ~2026-08-25, this completion date compresses further.</w:t>
      </w:r>
    </w:p>
    <w:p>
      <w:pPr>
        <w:pStyle w:val="Heading2"/>
      </w:pPr>
      <w:r>
        <w:t>Question 5 -- Status of Principal Investigator</w:t>
      </w:r>
    </w:p>
    <w:p>
      <w:r>
        <w:rPr>
          <w:b w:val="0"/>
          <w:i w:val="0"/>
        </w:rPr>
        <w:t>Faculty investigator: Britton R. Leggett, College of Business, Burton Business Center, 4205 Ryan Street, Lake Charles, LA 70605. Phone: ext. 5578. Email: bleggett1@mcneese.edu. Faculty sponsor/supervisor: N/A (faculty-led project). CITI certification: [CERTIFICATE NUMBER / EXPIRATION -- pull from CITI records before submission].</w:t>
      </w:r>
    </w:p>
    <w:p>
      <w:pPr>
        <w:pStyle w:val="Heading2"/>
      </w:pPr>
      <w:r>
        <w:t>Question 6 -- Exempt/Expedited Review and Rationale</w:t>
      </w:r>
    </w:p>
    <w:p>
      <w:r>
        <w:rPr>
          <w:b w:val="0"/>
          <w:i w:val="0"/>
        </w:rPr>
        <w:t>Study 1 does not constitute human subjects research under 45 CFR 46.102(e) and is excluded from IRB oversight (Chart 01, OHRP Common Rule Decision Charts). It analyzes only publicly available corporate communications (earnings calls, press coverage, price bulletins, SEC filings) made public by organizations for general audiences. No individual private data; no human contact. Secondary basis for exclusion if preferred: 45 CFR 46.104(d)(4) (secondary research using publicly available information).</w:t>
      </w:r>
    </w:p>
    <w:p>
      <w:r>
        <w:rPr>
          <w:b/>
          <w:i w:val="0"/>
        </w:rPr>
        <w:t>Pretest, Study 2, and Study 3 all qualify for exemption under 45 CFR 46.104(d)(3): Benign Behavioral Interventions.</w:t>
      </w:r>
    </w:p>
    <w:p>
      <w:pPr>
        <w:pStyle w:val="ListBullet"/>
      </w:pPr>
      <w:r>
        <w:t>Adult participants (18+) who prospectively agree to participate.</w:t>
      </w:r>
    </w:p>
    <w:p>
      <w:pPr>
        <w:pStyle w:val="ListBullet"/>
      </w:pPr>
      <w:r>
        <w:t>Benign behavioral interventions: reading a brief, realistic business communication (or, for Study 3, completing a standard consumer-attitude survey with no experimental manipulation) and answering consumer-perception questions. Brief, harmless, not physically invasive, no reasonable expectation of significant adverse lasting impact.</w:t>
      </w:r>
    </w:p>
    <w:p>
      <w:pPr>
        <w:pStyle w:val="ListBullet"/>
      </w:pPr>
      <w:r>
        <w:t>No identifying information collected; Prolific IDs used only for payment verification, stored separately, de-linked after payment.</w:t>
      </w:r>
    </w:p>
    <w:p>
      <w:pPr>
        <w:pStyle w:val="ListBullet"/>
      </w:pPr>
      <w:r>
        <w:t>Mild incomplete disclosure (hypotheses not revealed in advance) remediated by a debriefing statement at the end of each survey.</w:t>
      </w:r>
    </w:p>
    <w:p>
      <w:pPr>
        <w:pStyle w:val="Heading2"/>
      </w:pPr>
      <w:r>
        <w:t>Question 7 -- Abstract</w:t>
      </w:r>
    </w:p>
    <w:p>
      <w:r>
        <w:rPr>
          <w:b w:val="0"/>
          <w:i w:val="0"/>
        </w:rPr>
        <w:t>This research program examines how U.S. consumers respond to different corporate message strategies used to communicate tariff-driven price increases. As recently imposed import tariffs have led firms across consumer goods categories to announce price increases, a question of both academic and managerial importance has emerged: does the way a company frames a price-increase announcement shape consumer perceptions of fairness, trust, and behavioral intentions? Dual entitlement theory (Kahneman, Knetsch &amp; Thaler, 1986) and the literature on inferred-motive price unfairness (Campbell, 1999) suggest that explicit, legitimate cost attribution is perceived as fairer than vague or absent explanation, while prospect theory (Kahneman &amp; Tversky, 1979) and psychological reactance theory (Brehm, 1966) suggest that an unexplained, seemingly forced price change should provoke stronger negative reactions.</w:t>
      </w:r>
    </w:p>
    <w:p>
      <w:r>
        <w:rPr>
          <w:b w:val="0"/>
          <w:i w:val="0"/>
        </w:rPr>
        <w:t>The research program encompasses three sequential studies plus a stimulus pretest. Study 1 (excluded from human-subjects review; public data only) employs thematic analysis of publicly available corporate communications about tariff-driven price increases, producing a coded typology of real-world messaging strategies that directly informs the manipulations tested below. A pretest (target N=150-180, Prolific) validates six candidate vignette stimuli for manipulation strength and absence of confounds (message length, perceived company likability, perceived realism) before they are used in the main study. Study 2 is a between-subjects online vignette experiment (target N=360-600) conducted via Prolific. Adult U.S. residents (18+) will be randomly assigned to one of six conditions in a 3 (Attribution Frame: tariff-explicit, general-cost-explicit, silent) x 2 (Cost-Response: full pass-through, shared-burden absorption) factorial design. Participants will read a brief, realistic price-increase announcement from the fictional retailer "Meridian Home" and complete validated measures of perceived price fairness (Xia, Monroe &amp; Cox, 2004), perceived opportunism/inferred motive (Campbell, 1999), trust in the company (Chaudhuri &amp; Holbrook, 2001), purchase intention (Dodds, Monroe &amp; Grewal, 1991), and word-of-mouth intention (Maxham &amp; Netemeyer, 2002). Study 3 is an independent online survey (target N=300-400) via Prolific to validate the full theoretical model via PLS-SEM, with no experimental manipulation. No vulnerable populations will be recruited. All data collection occurs online. Findings will be submitted to the Journal of Consumer Marketing special issue "Crafting Shape in a Fluid World" and presented at the 2026 AMS Annual Conference.</w:t>
      </w:r>
    </w:p>
    <w:p>
      <w:pPr>
        <w:pStyle w:val="Heading2"/>
      </w:pPr>
      <w:r>
        <w:t>Question 8a -- Subject Population</w:t>
      </w:r>
    </w:p>
    <w:p>
      <w:r>
        <w:rPr>
          <w:b w:val="0"/>
          <w:i w:val="0"/>
        </w:rPr>
        <w:t>All "No" for every special/vulnerable population category (minors, pregnant women, prisoners, cognitively/decisionally impaired persons, economically disadvantaged persons specifically targeted, MSU students/students of the investigator, employees of the investigator, persons in dependent relationships with the investigator). Standard adult Prolific panel, screened for 18+, U.S. residence, English fluency.</w:t>
      </w:r>
    </w:p>
    <w:p>
      <w:pPr>
        <w:pStyle w:val="Heading2"/>
      </w:pPr>
      <w:r>
        <w:t>Question 8b -- Number of Subjects</w:t>
      </w:r>
    </w:p>
    <w:p>
      <w:pPr>
        <w:pStyle w:val="ListBullet"/>
      </w:pPr>
      <w:r>
        <w:t>Study 1: 0 human subjects (public document analysis only).</w:t>
      </w:r>
    </w:p>
    <w:p>
      <w:pPr>
        <w:pStyle w:val="ListBullet"/>
      </w:pPr>
      <w:r>
        <w:t>Pretest: up to 180.</w:t>
      </w:r>
    </w:p>
    <w:p>
      <w:pPr>
        <w:pStyle w:val="ListBullet"/>
      </w:pPr>
      <w:r>
        <w:t>Study 2: up to 600.</w:t>
      </w:r>
    </w:p>
    <w:p>
      <w:pPr>
        <w:pStyle w:val="ListBullet"/>
      </w:pPr>
      <w:r>
        <w:t>Study 3: up to 400.</w:t>
      </w:r>
    </w:p>
    <w:p>
      <w:pPr>
        <w:pStyle w:val="ListBullet"/>
      </w:pPr>
      <w:r>
        <w:t>Total human subjects across the program: up to 1,180.</w:t>
      </w:r>
    </w:p>
    <w:p>
      <w:pPr>
        <w:pStyle w:val="Heading1"/>
      </w:pPr>
      <w:r>
        <w:t>Recruitment, Compensation, Confidentiality, Consent, Risk/Benefit</w:t>
      </w:r>
    </w:p>
    <w:p>
      <w:pPr>
        <w:pStyle w:val="Heading2"/>
      </w:pPr>
      <w:r>
        <w:t>Recruitment Procedure</w:t>
      </w:r>
    </w:p>
    <w:p>
      <w:r>
        <w:rPr>
          <w:b w:val="0"/>
          <w:i w:val="0"/>
        </w:rPr>
        <w:t>Participants for the Pretest, Study 2, and Study 3 will be recruited exclusively through Prolific (www.prolific.com). Eligibility: (1) age 18+, (2) U.S. residence, (3) English fluency. Prolific pre-screens on these attributes before showing the listing. Respondents are directed to a Qualtrics survey with informed consent and a brief eligibility screener up front; non-consenting or ineligible respondents are redirected out immediately.</w:t>
      </w:r>
    </w:p>
    <w:p>
      <w:pPr>
        <w:pStyle w:val="Heading2"/>
      </w:pPr>
      <w:r>
        <w:t>Compensation</w:t>
      </w:r>
    </w:p>
    <w:p>
      <w:r>
        <w:rPr>
          <w:b w:val="0"/>
          <w:i w:val="0"/>
        </w:rPr>
        <w:t>Prolific academic-rate compensation (~$12.00/hour recommended pay), pro-rated by estimated completion time: Pretest (~6-7 min) ~$1.20-$1.40/participant; Study 2 (~12 min) ~$2.00-$3.00/participant; Study 3 (~15 min) ~$2.50-$4.00/participant. Compensation is processed entirely through Prolific's infrastructure; the investigator does not have access to participant names or payment details.</w:t>
      </w:r>
    </w:p>
    <w:p>
      <w:pPr>
        <w:pStyle w:val="Heading2"/>
      </w:pPr>
      <w:r>
        <w:t>Confidentiality</w:t>
      </w:r>
    </w:p>
    <w:p>
      <w:r>
        <w:rPr>
          <w:b w:val="0"/>
          <w:i w:val="0"/>
        </w:rPr>
        <w:t>No direct identifiers collected (no name, email, phone, IP address, or geolocation -- Qualtrics configured to suppress IP/location metadata). Prolific participant IDs used only to confirm completion and process payment, stored in a file separate from survey response data, permanently de-linked and deleted after payment confirmation. Data stored on password-protected, university-approved Qualtrics infrastructure during collection; exported and stored on a password-protected computer accessible only to the research team after collection. Retained a minimum of three years post-publication per APA guidelines, then securely deleted. All findings reported in aggregate only.</w:t>
      </w:r>
    </w:p>
    <w:p>
      <w:pPr>
        <w:pStyle w:val="Heading2"/>
      </w:pPr>
      <w:r>
        <w:t>Voluntary Participation / Informed Consent</w:t>
      </w:r>
    </w:p>
    <w:p>
      <w:r>
        <w:rPr>
          <w:b w:val="0"/>
          <w:i w:val="0"/>
        </w:rPr>
        <w:t>Electronic informed consent at the start of each Qualtrics survey (~8th-grade reading level): study purpose, what participation involves, time commitment, risks/benefits, confidentiality, compensation, right to withdraw. "I agree to participate" / "I do not agree to participate" radio buttons; non-consenting respondents redirected out immediately, no penalty. Participants may withdraw at any point before final submission by closing the browser. Mild incomplete disclosure (hypotheses not revealed in advance) is remediated by a full debriefing statement at the end of each survey.</w:t>
      </w:r>
    </w:p>
    <w:p>
      <w:pPr>
        <w:pStyle w:val="Heading2"/>
      </w:pPr>
      <w:r>
        <w:t>Risk/Benefit</w:t>
      </w:r>
    </w:p>
    <w:p>
      <w:r>
        <w:rPr>
          <w:b w:val="0"/>
          <w:i w:val="0"/>
        </w:rPr>
        <w:t>Minimal risk -- no greater than everyday life. Participants read a brief, realistic business announcement about a price increase (or, for Study 3, answer standard consumer-attitude questions) and respond to consumer-perception items. No physical, legal, financial, or lasting psychological risk; the only plausible risk is mild, transient annoyance at reading about a price increase. No sensitive personal information solicited beyond standard consumer-research demographics. Benefits are societal/scientific: empirical evidence on how corporate tariff-messaging strategy shapes fairness perceptions, trust, and purchase behavior. Risk/benefit ratio strongly favorable.</w:t>
      </w:r>
    </w:p>
    <w:p>
      <w:pPr>
        <w:pStyle w:val="Heading1"/>
      </w:pPr>
      <w:r>
        <w:t>Section 6: Six Experimental Vignettes (Study 2)</w:t>
      </w:r>
    </w:p>
    <w:p>
      <w:r>
        <w:rPr>
          <w:b w:val="0"/>
          <w:i/>
        </w:rPr>
        <w:t>Fictional retailer: "Meridian Home." Shared framing shown to all respondents before their assigned cell:</w:t>
      </w:r>
    </w:p>
    <w:p>
      <w:r>
        <w:rPr>
          <w:b w:val="0"/>
          <w:i w:val="0"/>
        </w:rPr>
        <w:t>"Imagine you are a regular customer of Meridian Home, a national retailer where you often shop. You receive the following email from the company: Subject: An Update on Pricing at Meridian Home"</w:t>
      </w:r>
    </w:p>
    <w:p>
      <w:pPr>
        <w:pStyle w:val="Heading2"/>
      </w:pPr>
      <w:r>
        <w:t>Cell 1 -- Tariff-explicit x Full pass-through</w:t>
      </w:r>
    </w:p>
    <w:p>
      <w:r>
        <w:rPr>
          <w:b w:val="0"/>
          <w:i w:val="0"/>
        </w:rPr>
        <w:t>As you may have seen in the news, new tariffs on imported goods have significantly increased the cost of many of the products we sell. Because of these tariff-related costs, we are raising prices on select items starting next month. These increases reflect the full amount of the added tariff costs we are now paying to bring these products to you.</w:t>
      </w:r>
    </w:p>
    <w:p>
      <w:pPr>
        <w:pStyle w:val="Heading2"/>
      </w:pPr>
      <w:r>
        <w:t>Cell 2 -- Tariff-explicit x Shared-burden</w:t>
      </w:r>
    </w:p>
    <w:p>
      <w:r>
        <w:rPr>
          <w:b w:val="0"/>
          <w:i w:val="0"/>
        </w:rPr>
        <w:t>As you may have seen in the news, new tariffs on imported goods have significantly increased the cost of many of the products we sell. Because of these tariff-related costs, we are raising prices on select items starting next month. We are absorbing a significant portion of these added tariff costs ourselves, and only passing along part of the increase to our customers.</w:t>
      </w:r>
    </w:p>
    <w:p>
      <w:pPr>
        <w:pStyle w:val="Heading2"/>
      </w:pPr>
      <w:r>
        <w:t>Cell 3 -- General-cost-explicit x Full pass-through</w:t>
      </w:r>
    </w:p>
    <w:p>
      <w:r>
        <w:rPr>
          <w:b w:val="0"/>
          <w:i w:val="0"/>
        </w:rPr>
        <w:t>Due to rising costs across our supply chain, the cost of many of the products we sell has significantly increased. Because of these higher costs, we are raising prices on select items starting next month. These increases reflect the full amount of the added costs we are now paying to bring these products to you.</w:t>
      </w:r>
    </w:p>
    <w:p>
      <w:pPr>
        <w:pStyle w:val="Heading2"/>
      </w:pPr>
      <w:r>
        <w:t>Cell 4 -- General-cost-explicit x Shared-burden</w:t>
      </w:r>
    </w:p>
    <w:p>
      <w:r>
        <w:rPr>
          <w:b w:val="0"/>
          <w:i w:val="0"/>
        </w:rPr>
        <w:t>Due to rising costs across our supply chain, the cost of many of the products we sell has significantly increased. Because of these higher costs, we are raising prices on select items starting next month. We are absorbing a significant portion of these added costs ourselves, and only passing along part of the increase to our customers.</w:t>
      </w:r>
    </w:p>
    <w:p>
      <w:pPr>
        <w:pStyle w:val="Heading2"/>
      </w:pPr>
      <w:r>
        <w:t>Cell 5 -- Silent x Full pass-through</w:t>
      </w:r>
    </w:p>
    <w:p>
      <w:r>
        <w:rPr>
          <w:b w:val="0"/>
          <w:i w:val="0"/>
        </w:rPr>
        <w:t>We value you as a customer and want to keep you informed about changes at Meridian Home. Prices on select items will be increasing starting next month. This adjustment reflects the full increase in what it now costs us to bring these products to you. We appreciate your continued business and look forward to serving you.</w:t>
      </w:r>
    </w:p>
    <w:p>
      <w:pPr>
        <w:pStyle w:val="Heading2"/>
      </w:pPr>
      <w:r>
        <w:t>Cell 6 -- Silent x Shared-burden</w:t>
      </w:r>
    </w:p>
    <w:p>
      <w:r>
        <w:rPr>
          <w:b w:val="0"/>
          <w:i w:val="0"/>
        </w:rPr>
        <w:t>We value you as a customer and want to keep you informed about changes at Meridian Home. Prices on select items will be increasing starting next month. We are absorbing a significant portion of the increase in what it now costs us to bring these products to you, and only passing along part of it. We appreciate your continued business and look forward to serving you.</w:t>
      </w:r>
    </w:p>
    <w:p>
      <w:r>
        <w:rPr>
          <w:b w:val="0"/>
          <w:i/>
        </w:rPr>
        <w:t>Open design question (flagged for PI sign-off, not yet resolved): the Silent condition (Cells 5-6) still references "cost" in a generic, unattributed way, since the Cost-Response factor needs something to manipulate in those two cells -- this is not true silence in the sense Study 1's real BMW artifact showed. See 2026-08-04-vignette-drafts-v1.md for the two resolution options.</w:t>
      </w:r>
    </w:p>
    <w:p>
      <w:pPr>
        <w:pStyle w:val="Heading1"/>
      </w:pPr>
      <w:r>
        <w:t>Theoretical Model</w:t>
      </w:r>
    </w:p>
    <w:p>
      <w:r>
        <w:rPr>
          <w:b w:val="0"/>
          <w:i w:val="0"/>
        </w:rPr>
        <w:t>Diagram saved separately as Tariff_Model_Lean_2026-08-04.png (same folder). Path summary: Attribution Frame and Cost-Response (both manipulated) each feed Perceived Price Fairness and Perceived Opportunism; both mediators feed Trust in the Company; Trust feeds Purchase Intention and Word-of-Mouth Intention.</w:t>
      </w:r>
    </w:p>
    <w:p>
      <w:r>
        <w:drawing>
          <wp:inline xmlns:a="http://schemas.openxmlformats.org/drawingml/2006/main" xmlns:pic="http://schemas.openxmlformats.org/drawingml/2006/picture">
            <wp:extent cx="5760720" cy="3066858"/>
            <wp:docPr id="1" name="Picture 1"/>
            <wp:cNvGraphicFramePr>
              <a:graphicFrameLocks noChangeAspect="1"/>
            </wp:cNvGraphicFramePr>
            <a:graphic>
              <a:graphicData uri="http://schemas.openxmlformats.org/drawingml/2006/picture">
                <pic:pic>
                  <pic:nvPicPr>
                    <pic:cNvPr id="0" name="Tariff_Model_Lean_2026-08-04.png"/>
                    <pic:cNvPicPr/>
                  </pic:nvPicPr>
                  <pic:blipFill>
                    <a:blip r:embed="rId9"/>
                    <a:stretch>
                      <a:fillRect/>
                    </a:stretch>
                  </pic:blipFill>
                  <pic:spPr>
                    <a:xfrm>
                      <a:off x="0" y="0"/>
                      <a:ext cx="5760720" cy="3066858"/>
                    </a:xfrm>
                    <a:prstGeom prst="rect"/>
                  </pic:spPr>
                </pic:pic>
              </a:graphicData>
            </a:graphic>
          </wp:inline>
        </w:drawing>
      </w:r>
    </w:p>
    <w:p>
      <w:pPr>
        <w:pStyle w:val="Heading1"/>
      </w:pPr>
      <w:r>
        <w:t>Scale Item Verification Status</w:t>
      </w:r>
    </w:p>
    <w:p>
      <w:r>
        <w:rPr>
          <w:b w:val="0"/>
          <w:i/>
        </w:rPr>
        <w:t>Searched for verbatim item wording for all five scales before drafting the instrument below. One came back fully verified; four did not and are flagged rather than presented as confirmed. Full detail in 2026-08-04-scale-items-verification-status.md.</w:t>
      </w:r>
    </w:p>
    <w:p>
      <w:pPr>
        <w:pStyle w:val="Heading2"/>
      </w:pPr>
      <w:r>
        <w:t>VERIFIED -- Trust in the Company (Chaudhuri &amp; Holbrook, 2001)</w:t>
      </w:r>
    </w:p>
    <w:p>
      <w:r>
        <w:rPr>
          <w:b w:val="0"/>
          <w:i w:val="0"/>
        </w:rPr>
        <w:t>I trust this company. / I rely on this company. / This is an honest company. / This company is safe. (7-pt Likert, original alpha = .81)</w:t>
      </w:r>
    </w:p>
    <w:p>
      <w:pPr>
        <w:pStyle w:val="Heading2"/>
      </w:pPr>
      <w:r>
        <w:t>UNVERIFIED -- Purchase Intention (Dodds, Monroe &amp; Grewal, 1991) -- moderate-high confidence</w:t>
      </w:r>
    </w:p>
    <w:p>
      <w:r>
        <w:rPr>
          <w:b w:val="0"/>
          <w:i w:val="0"/>
        </w:rPr>
        <w:t>The likelihood of purchasing this product is high. / If I were going to buy a product like this, I would consider buying this one. / The probability that I would consider buying this product is high. (7-pt Likert) -- verify against original before fielding.</w:t>
      </w:r>
    </w:p>
    <w:p>
      <w:pPr>
        <w:pStyle w:val="Heading2"/>
      </w:pPr>
      <w:r>
        <w:t>UNVERIFIED -- Perceived Price Fairness (Xia, Monroe &amp; Cox, 2004) -- moderate confidence</w:t>
      </w:r>
    </w:p>
    <w:p>
      <w:r>
        <w:rPr>
          <w:b w:val="0"/>
          <w:i w:val="0"/>
        </w:rPr>
        <w:t>This price increase is: unfair-fair / unacceptable-acceptable / unreasonable-reasonable (7-pt semantic differential). Some published versions add a 4th item -- verify before fielding.</w:t>
      </w:r>
    </w:p>
    <w:p>
      <w:pPr>
        <w:pStyle w:val="Heading2"/>
      </w:pPr>
      <w:r>
        <w:t>UNVERIFIED -- Word-of-Mouth Intention (Maxham &amp; Netemeyer, 2002) -- moderate-low confidence</w:t>
      </w:r>
    </w:p>
    <w:p>
      <w:r>
        <w:rPr>
          <w:b w:val="0"/>
          <w:i w:val="0"/>
        </w:rPr>
        <w:t>I would say positive things about this company to other people. / I would recommend this company to someone who seeks my advice. / I would encourage friends and relatives to do business with this company. -- closely related to the Zeithaml, Berry &amp; Parasuraman (1996) battery; verify which wording is actually Maxham &amp; Netemeyer's before fielding.</w:t>
      </w:r>
    </w:p>
    <w:p>
      <w:pPr>
        <w:pStyle w:val="Heading2"/>
      </w:pPr>
      <w:r>
        <w:t>UNVERIFIED -- Perceived Opportunism / Inferred Motive (Campbell, 1999) -- LOWEST confidence</w:t>
      </w:r>
    </w:p>
    <w:p>
      <w:r>
        <w:rPr>
          <w:b w:val="0"/>
          <w:i w:val="0"/>
        </w:rPr>
        <w:t>Illustrative only, not to be used as-is: "I think the seller raised the price to take advantage of the situation" / "...to increase its profit margin" / (reverse) "...had a legitimate reason for raising the price." This is the most load-bearing scale in the design (tied directly to the Attribution Frame manipulation and Study 1's Theme 2) and the one with the least confident reconstruction -- verify this one first.</w:t>
      </w:r>
    </w:p>
    <w:p>
      <w:pPr>
        <w:pStyle w:val="Heading1"/>
      </w:pPr>
      <w:r>
        <w:t>Full Survey Instrument -- Flow Order</w:t>
      </w:r>
    </w:p>
    <w:p>
      <w:pPr>
        <w:pStyle w:val="Heading2"/>
      </w:pPr>
      <w:r>
        <w:t>Study 2 (vignette experiment)</w:t>
      </w:r>
    </w:p>
    <w:p>
      <w:pPr>
        <w:pStyle w:val="ListNumber"/>
      </w:pPr>
      <w:r>
        <w:t>Consent (~12 min estimate)</w:t>
      </w:r>
    </w:p>
    <w:p>
      <w:pPr>
        <w:pStyle w:val="ListNumber"/>
      </w:pPr>
      <w:r>
        <w:t>Screener: age 18+, US residence, English fluency</w:t>
      </w:r>
    </w:p>
    <w:p>
      <w:pPr>
        <w:pStyle w:val="ListNumber"/>
      </w:pPr>
      <w:r>
        <w:t>Random assignment to 1 of 6 vignette cells</w:t>
      </w:r>
    </w:p>
    <w:p>
      <w:pPr>
        <w:pStyle w:val="ListNumber"/>
      </w:pPr>
      <w:r>
        <w:t>Vignette exposure (Section 6 above)</w:t>
      </w:r>
    </w:p>
    <w:p>
      <w:pPr>
        <w:pStyle w:val="ListNumber"/>
      </w:pPr>
      <w:r>
        <w:t>Manipulation checks: attribution recall (multiple choice), attribution clarity (1-7), cost-response recall</w:t>
      </w:r>
    </w:p>
    <w:p>
      <w:pPr>
        <w:pStyle w:val="ListNumber"/>
      </w:pPr>
      <w:r>
        <w:t>Perceived Price Fairness</w:t>
      </w:r>
    </w:p>
    <w:p>
      <w:pPr>
        <w:pStyle w:val="ListNumber"/>
      </w:pPr>
      <w:r>
        <w:t>Perceived Opportunism</w:t>
      </w:r>
    </w:p>
    <w:p>
      <w:pPr>
        <w:pStyle w:val="ListNumber"/>
      </w:pPr>
      <w:r>
        <w:t>Trust in the Company</w:t>
      </w:r>
    </w:p>
    <w:p>
      <w:pPr>
        <w:pStyle w:val="ListNumber"/>
      </w:pPr>
      <w:r>
        <w:t>Purchase Intention</w:t>
      </w:r>
    </w:p>
    <w:p>
      <w:pPr>
        <w:pStyle w:val="ListNumber"/>
      </w:pPr>
      <w:r>
        <w:t>Word-of-Mouth Intention</w:t>
      </w:r>
    </w:p>
    <w:p>
      <w:pPr>
        <w:pStyle w:val="ListNumber"/>
      </w:pPr>
      <w:r>
        <w:t>Demographics: age, gender, income, education, shopping frequency, political ideology (7-pt)</w:t>
      </w:r>
    </w:p>
    <w:p>
      <w:pPr>
        <w:pStyle w:val="ListNumber"/>
      </w:pPr>
      <w:r>
        <w:t>Debriefing statement (below)</w:t>
      </w:r>
    </w:p>
    <w:p>
      <w:pPr>
        <w:pStyle w:val="Heading2"/>
      </w:pPr>
      <w:r>
        <w:t>Study 3 (SEM validation survey, no manipulation)</w:t>
      </w:r>
    </w:p>
    <w:p>
      <w:pPr>
        <w:pStyle w:val="ListNumber"/>
      </w:pPr>
      <w:r>
        <w:t>Consent (~15 min estimate)</w:t>
      </w:r>
    </w:p>
    <w:p>
      <w:pPr>
        <w:pStyle w:val="ListNumber"/>
      </w:pPr>
      <w:r>
        <w:t>Screener (same as Study 2)</w:t>
      </w:r>
    </w:p>
    <w:p>
      <w:pPr>
        <w:pStyle w:val="ListNumber"/>
      </w:pPr>
      <w:r>
        <w:t>Recall prompt: describe a real price increase from a retailer in the last 12 months (branch to generic-attitude version if nothing recalled)</w:t>
      </w:r>
    </w:p>
    <w:p>
      <w:pPr>
        <w:pStyle w:val="ListNumber"/>
      </w:pPr>
      <w:r>
        <w:t>Same five scales, reworded to reference the recalled retailer/experience</w:t>
      </w:r>
    </w:p>
    <w:p>
      <w:pPr>
        <w:pStyle w:val="ListNumber"/>
      </w:pPr>
      <w:r>
        <w:t>Demographics (same battery plus recency/category of recalled price increase)</w:t>
      </w:r>
    </w:p>
    <w:p>
      <w:pPr>
        <w:pStyle w:val="ListNumber"/>
      </w:pPr>
      <w:r>
        <w:t>Shorter debriefing (no incomplete-disclosure element -- no manipulation to explain)</w:t>
      </w:r>
    </w:p>
    <w:p>
      <w:pPr>
        <w:pStyle w:val="Heading1"/>
      </w:pPr>
      <w:r>
        <w:t>Debriefing Statement</w:t>
      </w:r>
    </w:p>
    <w:p>
      <w:r>
        <w:rPr>
          <w:b/>
          <w:i w:val="0"/>
        </w:rPr>
        <w:t>Thank you for completing this study.</w:t>
      </w:r>
    </w:p>
    <w:p>
      <w:r>
        <w:rPr>
          <w:b w:val="0"/>
          <w:i w:val="0"/>
        </w:rPr>
        <w:t>We want to tell you a bit more about what this research is really about. This study examines how the way a company explains a price increase -- specifically, whether it names tariffs, cites general rising costs, or gives no explanation at all, and whether it says it's passing along the full cost or absorbing part of it -- affects how fair, trustworthy, and worth buying from consumers find that company. The message you read from "Meridian Home" was one of several different versions used in this study; Meridian Home is not a real company, and the email was written for research purposes only.</w:t>
      </w:r>
    </w:p>
    <w:p>
      <w:r>
        <w:rPr>
          <w:b w:val="0"/>
          <w:i w:val="0"/>
        </w:rPr>
        <w:t>We didn't tell you this in advance because knowing the specific comparison being tested can change how people respond, which would make the results less accurate. This is a standard and accepted research practice, not deception in the sense of anything false being told to you -- everything you were told about the study was true.</w:t>
      </w:r>
    </w:p>
    <w:p>
      <w:r>
        <w:rPr>
          <w:b w:val="0"/>
          <w:i w:val="0"/>
        </w:rPr>
        <w:t>Your responses are completely anonymous and cannot be linked back to you. If anything about this study concerns you, or if you'd like to withdraw your data even after completing the survey, you can contact the research team below.</w:t>
      </w:r>
    </w:p>
    <w:p>
      <w:r>
        <w:rPr>
          <w:b w:val="0"/>
          <w:i w:val="0"/>
        </w:rPr>
        <w:t>Researcher contact: Britton R. Leggett, bleggett1@mcneese.edu, 337-475-5578</w:t>
      </w:r>
    </w:p>
    <w:p>
      <w:r>
        <w:rPr>
          <w:b w:val="0"/>
          <w:i w:val="0"/>
        </w:rPr>
        <w:t>IRB contact: Dr. Eddie Lyons, IRB Chair, irbchair@mcneese.edu, 337-475-4077</w:t>
      </w:r>
    </w:p>
    <w:p>
      <w:pPr>
        <w:pStyle w:val="Heading1"/>
      </w:pPr>
      <w:r>
        <w:t>Still Needed Before Submission-Ready</w:t>
      </w:r>
    </w:p>
    <w:p>
      <w:pPr>
        <w:pStyle w:val="ListNumber"/>
      </w:pPr>
      <w:r>
        <w:t>Verify the four [UNVERIFIED] scales against original source articles -- Campbell (1999) perceived-opportunism items first, they're the least certain and most load-bearing.</w:t>
      </w:r>
    </w:p>
    <w:p>
      <w:pPr>
        <w:pStyle w:val="ListNumber"/>
      </w:pPr>
      <w:r>
        <w:t>CITI certificate number and expiration date.</w:t>
      </w:r>
    </w:p>
    <w:p>
      <w:pPr>
        <w:pStyle w:val="ListNumber"/>
      </w:pPr>
      <w:r>
        <w:t>Build the actual Qualtrics file (randomization/branching/skip logic) from the flow order specified above.</w:t>
      </w:r>
    </w:p>
    <w:p>
      <w:pPr>
        <w:pStyle w:val="ListNumber"/>
      </w:pPr>
      <w:r>
        <w:t>Sign-off on the placeholder 2026-08-25 start / 2026-09-15 completion dates once actual HSIRB turnaround time is known.</w:t>
      </w:r>
    </w:p>
    <w:p>
      <w:pPr>
        <w:pStyle w:val="ListNumber"/>
      </w:pPr>
      <w:r>
        <w:t>PI decision on the Silent-condition design tension flagged in Section 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