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2F5F" w14:textId="77777777" w:rsidR="00272541" w:rsidRDefault="00000000">
      <w:pPr>
        <w:spacing w:before="157" w:after="157" w:line="270" w:lineRule="auto"/>
      </w:pPr>
      <w:bookmarkStart w:id="0" w:name="literature_review_business_tariff_ab6f06"/>
      <w:r>
        <w:rPr>
          <w:rFonts w:eastAsia="Georgia" w:hAnsi="Georgia" w:cs="Georgia"/>
          <w:b/>
          <w:color w:val="000000"/>
          <w:sz w:val="39"/>
        </w:rPr>
        <w:t>Literature Review: Business Tariff Messaging and Consumer Responses</w:t>
      </w:r>
      <w:bookmarkEnd w:id="0"/>
    </w:p>
    <w:p w14:paraId="77C439FB" w14:textId="77777777" w:rsidR="00272541" w:rsidRDefault="00000000">
      <w:pPr>
        <w:spacing w:before="315" w:after="105" w:line="360" w:lineRule="auto"/>
        <w:ind w:left="-30"/>
      </w:pPr>
      <w:bookmarkStart w:id="1" w:name="a_proposed_experimental_study_for_a8550c"/>
      <w:r>
        <w:rPr>
          <w:rFonts w:eastAsia="Georgia" w:hAnsi="Georgia" w:cs="Georgia"/>
          <w:b/>
          <w:color w:val="000000"/>
          <w:sz w:val="24"/>
        </w:rPr>
        <w:t xml:space="preserve">A Proposed Experimental Study for the </w:t>
      </w:r>
      <w:r>
        <w:rPr>
          <w:rFonts w:eastAsia="Georgia" w:hAnsi="Georgia" w:cs="Georgia"/>
          <w:b/>
          <w:i/>
          <w:color w:val="000000"/>
          <w:sz w:val="24"/>
        </w:rPr>
        <w:t>Journal of Consumer Marketing</w:t>
      </w:r>
      <w:r>
        <w:rPr>
          <w:rFonts w:eastAsia="Georgia" w:hAnsi="Georgia" w:cs="Georgia"/>
          <w:b/>
          <w:color w:val="000000"/>
          <w:sz w:val="24"/>
        </w:rPr>
        <w:t xml:space="preserve"> Special Issue</w:t>
      </w:r>
      <w:bookmarkEnd w:id="1"/>
    </w:p>
    <w:p w14:paraId="3DF156A8" w14:textId="77777777" w:rsidR="00272541" w:rsidRDefault="00000000">
      <w:pPr>
        <w:spacing w:before="210" w:after="0" w:line="360" w:lineRule="auto"/>
      </w:pPr>
      <w:r>
        <w:rPr>
          <w:noProof/>
        </w:rPr>
      </w:r>
      <w:r>
        <w:rPr>
          <w:noProof/>
        </w:rPr>
        <w:pict w14:anchorId="3FD9A129">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E964A43" w14:textId="77777777" w:rsidR="00272541" w:rsidRDefault="00000000">
      <w:pPr>
        <w:spacing w:before="315" w:after="105" w:line="360" w:lineRule="auto"/>
        <w:ind w:left="-30"/>
      </w:pPr>
      <w:bookmarkStart w:id="2" w:name="overview"/>
      <w:r>
        <w:rPr>
          <w:rFonts w:eastAsia="Georgia" w:hAnsi="Georgia" w:cs="Georgia"/>
          <w:b/>
          <w:color w:val="000000"/>
          <w:sz w:val="24"/>
        </w:rPr>
        <w:t>Overview</w:t>
      </w:r>
      <w:bookmarkEnd w:id="2"/>
    </w:p>
    <w:p w14:paraId="16ABE760" w14:textId="77777777" w:rsidR="00272541" w:rsidRDefault="00000000">
      <w:pPr>
        <w:spacing w:after="210" w:line="360" w:lineRule="auto"/>
      </w:pPr>
      <w:r>
        <w:rPr>
          <w:rFonts w:eastAsia="Georgia" w:hAnsi="Georgia" w:cs="Georgia"/>
          <w:color w:val="000000"/>
        </w:rPr>
        <w:t xml:space="preserve">The imposition of tariffs as instruments of trade policy has created a novel and pressing communication challenge for businesses. As firms face rising input costs, they must decide whether, how, and in what tone to communicate </w:t>
      </w:r>
      <w:proofErr w:type="gramStart"/>
      <w:r>
        <w:rPr>
          <w:rFonts w:eastAsia="Georgia" w:hAnsi="Georgia" w:cs="Georgia"/>
          <w:color w:val="000000"/>
        </w:rPr>
        <w:t>resulting</w:t>
      </w:r>
      <w:proofErr w:type="gramEnd"/>
      <w:r>
        <w:rPr>
          <w:rFonts w:eastAsia="Georgia" w:hAnsi="Georgia" w:cs="Georgia"/>
          <w:color w:val="000000"/>
        </w:rPr>
        <w:t xml:space="preserve"> price increases to consumers. This literature review develops the theoretical and empirical foundation for an experimental study examining the effects of businesses' tariff-related messaging on consumer responses — specifically, how message framing and message content influence consumer perceptions of price fairness, brand attitudes, trust, and purchase intentions. The review draws on five integrated theoretical streams: (1) the emerging empirical landscape of consumer responses to tariff-related economic disruption; (2) message framing theory rooted in prospect theory; (3) psychological reactance theory; (4) price fairness theory and the dual entitlement principle; and (5) corporate crisis communication and attribution theory. Together, these streams establish a compelling and timely research agenda well-suited to the </w:t>
      </w:r>
      <w:r>
        <w:rPr>
          <w:rFonts w:eastAsia="Georgia" w:hAnsi="Georgia" w:cs="Georgia"/>
          <w:i/>
          <w:color w:val="000000"/>
        </w:rPr>
        <w:t>Journal of Consumer Marketing</w:t>
      </w:r>
      <w:r>
        <w:rPr>
          <w:rFonts w:eastAsia="Georgia" w:hAnsi="Georgia" w:cs="Georgia"/>
          <w:color w:val="000000"/>
        </w:rPr>
        <w:t xml:space="preserve"> special issue theme of marketing in a fluid, externally disrupted world.</w:t>
      </w:r>
    </w:p>
    <w:p w14:paraId="5BD80B3D" w14:textId="77777777" w:rsidR="00272541" w:rsidRDefault="00000000">
      <w:pPr>
        <w:spacing w:before="210" w:after="0" w:line="360" w:lineRule="auto"/>
      </w:pPr>
      <w:r>
        <w:rPr>
          <w:noProof/>
        </w:rPr>
      </w:r>
      <w:r>
        <w:rPr>
          <w:noProof/>
        </w:rPr>
        <w:pict w14:anchorId="2DB98167">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341A4D" w14:textId="77777777" w:rsidR="00272541" w:rsidRDefault="00000000">
      <w:pPr>
        <w:spacing w:before="315" w:after="105" w:line="360" w:lineRule="auto"/>
        <w:ind w:left="-30"/>
      </w:pPr>
      <w:bookmarkStart w:id="3" w:name="the_tariff_context_consumer_and_b_640afe"/>
      <w:r>
        <w:rPr>
          <w:rFonts w:eastAsia="Georgia" w:hAnsi="Georgia" w:cs="Georgia"/>
          <w:b/>
          <w:color w:val="000000"/>
          <w:sz w:val="24"/>
        </w:rPr>
        <w:t>The Tariff Context: Consumer and Business Realities</w:t>
      </w:r>
      <w:bookmarkEnd w:id="3"/>
    </w:p>
    <w:p w14:paraId="0BE1A81C" w14:textId="77777777" w:rsidR="00272541" w:rsidRDefault="00000000">
      <w:pPr>
        <w:spacing w:after="210" w:line="360" w:lineRule="auto"/>
      </w:pPr>
      <w:r>
        <w:rPr>
          <w:rFonts w:eastAsia="Georgia" w:hAnsi="Georgia" w:cs="Georgia"/>
          <w:color w:val="000000"/>
        </w:rPr>
        <w:t xml:space="preserve">Contemporary trade policy has placed tariffs at the center of consumer experience in ways previously unimagined by marketing scholars. </w:t>
      </w:r>
      <w:hyperlink r:id="rId4">
        <w:r>
          <w:rPr>
            <w:rFonts w:ascii="helvetica neue" w:eastAsia="helvetica neue" w:hAnsi="helvetica neue" w:cs="helvetica neue"/>
            <w:u w:val="single"/>
          </w:rPr>
          <w:t>Harvard Business School research</w:t>
        </w:r>
      </w:hyperlink>
      <w:r>
        <w:rPr>
          <w:rFonts w:eastAsia="Georgia" w:hAnsi="Georgia" w:cs="Georgia"/>
          <w:color w:val="000000"/>
        </w:rPr>
        <w:t xml:space="preserve"> by Alberto Cavallo found that tariffs imposed in 2025 increased the Consumer Price Index by 0.7% and that, contrary to political claims, it is primarily U.S. firms and consumers who bear the cost burden — not foreign exporters. The </w:t>
      </w:r>
      <w:hyperlink r:id="rId5">
        <w:r>
          <w:rPr>
            <w:rFonts w:ascii="helvetica neue" w:eastAsia="helvetica neue" w:hAnsi="helvetica neue" w:cs="helvetica neue"/>
            <w:u w:val="single"/>
          </w:rPr>
          <w:t>Federal Reserve Bank of Boston</w:t>
        </w:r>
      </w:hyperlink>
      <w:r>
        <w:rPr>
          <w:rFonts w:eastAsia="Georgia" w:hAnsi="Georgia" w:cs="Georgia"/>
          <w:color w:val="000000"/>
        </w:rPr>
        <w:t xml:space="preserve"> documented that small and medium-sized businesses raised their average tariff rate expectations from roughly 19% to 25% in the first four months of 2025, with importers planning to pass through approximately half of their cost increases to consumers.</w:t>
      </w:r>
    </w:p>
    <w:p w14:paraId="6AFAED1F" w14:textId="77777777" w:rsidR="00272541" w:rsidRDefault="00000000">
      <w:pPr>
        <w:spacing w:after="210" w:line="360" w:lineRule="auto"/>
      </w:pPr>
      <w:r>
        <w:rPr>
          <w:rFonts w:eastAsia="Georgia" w:hAnsi="Georgia" w:cs="Georgia"/>
          <w:color w:val="000000"/>
        </w:rPr>
        <w:t xml:space="preserve">This pass-through has not gone unnoticed. </w:t>
      </w:r>
      <w:hyperlink r:id="rId6">
        <w:proofErr w:type="spellStart"/>
        <w:r>
          <w:rPr>
            <w:rFonts w:ascii="helvetica neue" w:eastAsia="helvetica neue" w:hAnsi="helvetica neue" w:cs="helvetica neue"/>
            <w:u w:val="single"/>
          </w:rPr>
          <w:t>UserTesting's</w:t>
        </w:r>
        <w:proofErr w:type="spellEnd"/>
        <w:r>
          <w:rPr>
            <w:rFonts w:ascii="helvetica neue" w:eastAsia="helvetica neue" w:hAnsi="helvetica neue" w:cs="helvetica neue"/>
            <w:u w:val="single"/>
          </w:rPr>
          <w:t xml:space="preserve"> global survey</w:t>
        </w:r>
      </w:hyperlink>
      <w:r>
        <w:rPr>
          <w:rFonts w:eastAsia="Georgia" w:hAnsi="Georgia" w:cs="Georgia"/>
          <w:color w:val="000000"/>
        </w:rPr>
        <w:t xml:space="preserve"> of 4,000 consumers across the U.S., U.K., and Australia found that 72% of Americans have seen companies raise prices due to tariffs, and 72% report that transparency about pricing changes is critical to maintaining trust. Yet over 60% </w:t>
      </w:r>
      <w:r>
        <w:rPr>
          <w:rFonts w:eastAsia="Georgia" w:hAnsi="Georgia" w:cs="Georgia"/>
          <w:color w:val="000000"/>
        </w:rPr>
        <w:lastRenderedPageBreak/>
        <w:t xml:space="preserve">of consumers remain uncertain about how tariffs </w:t>
      </w:r>
      <w:proofErr w:type="gramStart"/>
      <w:r>
        <w:rPr>
          <w:rFonts w:eastAsia="Georgia" w:hAnsi="Georgia" w:cs="Georgia"/>
          <w:color w:val="000000"/>
        </w:rPr>
        <w:t>actually affect</w:t>
      </w:r>
      <w:proofErr w:type="gramEnd"/>
      <w:r>
        <w:rPr>
          <w:rFonts w:eastAsia="Georgia" w:hAnsi="Georgia" w:cs="Georgia"/>
          <w:color w:val="000000"/>
        </w:rPr>
        <w:t xml:space="preserve"> pricing, creating a vacuum that brand communication must fill — or competitors and critics will fill it instead. The </w:t>
      </w:r>
      <w:hyperlink r:id="rId7">
        <w:r>
          <w:rPr>
            <w:rFonts w:ascii="helvetica neue" w:eastAsia="helvetica neue" w:hAnsi="helvetica neue" w:cs="helvetica neue"/>
            <w:u w:val="single"/>
          </w:rPr>
          <w:t>Morning Consult Tariff Transparency Report</w:t>
        </w:r>
      </w:hyperlink>
      <w:r>
        <w:rPr>
          <w:rFonts w:eastAsia="Georgia" w:hAnsi="Georgia" w:cs="Georgia"/>
          <w:color w:val="000000"/>
        </w:rPr>
        <w:t xml:space="preserve"> found that companies who communicate price changes are viewed as "smart," "practical," and "trustworthy," while those who stay silent are labeled "unpatriotic," "cowardly," and "</w:t>
      </w:r>
      <w:proofErr w:type="gramStart"/>
      <w:r>
        <w:rPr>
          <w:rFonts w:eastAsia="Georgia" w:hAnsi="Georgia" w:cs="Georgia"/>
          <w:color w:val="000000"/>
        </w:rPr>
        <w:t>unethical" —</w:t>
      </w:r>
      <w:proofErr w:type="gramEnd"/>
      <w:r>
        <w:rPr>
          <w:rFonts w:eastAsia="Georgia" w:hAnsi="Georgia" w:cs="Georgia"/>
          <w:color w:val="000000"/>
        </w:rPr>
        <w:t xml:space="preserve"> and this judgment transcends partisan lines. Critically, the same report found that message type matters enormously: an explanatory message was seen positively by 40% of consumers, while a receipt line item was seen negatively by 28%.</w:t>
      </w:r>
    </w:p>
    <w:p w14:paraId="3767ABE2" w14:textId="77777777" w:rsidR="00272541" w:rsidRDefault="00000000">
      <w:pPr>
        <w:spacing w:after="210" w:line="360" w:lineRule="auto"/>
      </w:pPr>
      <w:r>
        <w:rPr>
          <w:rFonts w:eastAsia="Georgia" w:hAnsi="Georgia" w:cs="Georgia"/>
          <w:color w:val="000000"/>
        </w:rPr>
        <w:t xml:space="preserve">These dynamics underscore a research gap. While practitioner guidance now exists (e.g., </w:t>
      </w:r>
      <w:hyperlink r:id="rId8">
        <w:proofErr w:type="spellStart"/>
        <w:r>
          <w:rPr>
            <w:rFonts w:ascii="helvetica neue" w:eastAsia="helvetica neue" w:hAnsi="helvetica neue" w:cs="helvetica neue"/>
            <w:u w:val="single"/>
          </w:rPr>
          <w:t>FleishmanHillard</w:t>
        </w:r>
        <w:proofErr w:type="spellEnd"/>
      </w:hyperlink>
      <w:r>
        <w:rPr>
          <w:rFonts w:eastAsia="Georgia" w:hAnsi="Georgia" w:cs="Georgia"/>
          <w:color w:val="000000"/>
        </w:rPr>
        <w:t xml:space="preserve">, </w:t>
      </w:r>
      <w:hyperlink r:id="rId9">
        <w:r>
          <w:rPr>
            <w:rFonts w:ascii="helvetica neue" w:eastAsia="helvetica neue" w:hAnsi="helvetica neue" w:cs="helvetica neue"/>
            <w:u w:val="single"/>
          </w:rPr>
          <w:t>Omnia Retail</w:t>
        </w:r>
      </w:hyperlink>
      <w:r>
        <w:rPr>
          <w:rFonts w:eastAsia="Georgia" w:hAnsi="Georgia" w:cs="Georgia"/>
          <w:color w:val="000000"/>
        </w:rPr>
        <w:t>), academic marketing scholarship on the causal effects of tariff messaging on consumer behavior is essentially nonexistent. An experimental study examining the mechanisms, moderators, and outcomes of tariff-related business messaging would make a timely and significant theoretical contribution.</w:t>
      </w:r>
    </w:p>
    <w:p w14:paraId="1F39CD0D" w14:textId="77777777" w:rsidR="00272541" w:rsidRDefault="00000000">
      <w:pPr>
        <w:spacing w:before="210" w:after="0" w:line="360" w:lineRule="auto"/>
      </w:pPr>
      <w:r>
        <w:rPr>
          <w:noProof/>
        </w:rPr>
      </w:r>
      <w:r>
        <w:rPr>
          <w:noProof/>
        </w:rPr>
        <w:pict w14:anchorId="40DD063C">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77C3E4C" w14:textId="77777777" w:rsidR="00272541" w:rsidRDefault="00000000">
      <w:pPr>
        <w:spacing w:before="315" w:after="105" w:line="360" w:lineRule="auto"/>
        <w:ind w:left="-30"/>
      </w:pPr>
      <w:bookmarkStart w:id="4" w:name="message_framing_theory"/>
      <w:r>
        <w:rPr>
          <w:rFonts w:eastAsia="Georgia" w:hAnsi="Georgia" w:cs="Georgia"/>
          <w:b/>
          <w:color w:val="000000"/>
          <w:sz w:val="24"/>
        </w:rPr>
        <w:t>Message Framing Theory</w:t>
      </w:r>
      <w:bookmarkEnd w:id="4"/>
    </w:p>
    <w:p w14:paraId="446EA387" w14:textId="77777777" w:rsidR="00272541" w:rsidRDefault="00000000">
      <w:pPr>
        <w:spacing w:after="210" w:line="360" w:lineRule="auto"/>
      </w:pPr>
      <w:r>
        <w:rPr>
          <w:rFonts w:eastAsia="Georgia" w:hAnsi="Georgia" w:cs="Georgia"/>
          <w:color w:val="000000"/>
        </w:rPr>
        <w:t>The theoretical backbone of the proposed study rests on prospect theory and its derivative, message framing theory. Kahneman and Tversky's prospect theory established that individuals evaluate outcomes asymmetrically, weighting losses more heavily than equivalent gains — a principle known as loss aversion. Applied to marketing communications, this asymmetry means that the same objective content can elicit markedly different responses depending on whether it is presented in terms of what the consumer stands to gain or lose.</w:t>
      </w:r>
    </w:p>
    <w:p w14:paraId="63845B8A" w14:textId="77777777" w:rsidR="00272541" w:rsidRDefault="00000000">
      <w:pPr>
        <w:spacing w:after="210" w:line="360" w:lineRule="auto"/>
      </w:pPr>
      <w:r>
        <w:rPr>
          <w:rFonts w:eastAsia="Georgia" w:hAnsi="Georgia" w:cs="Georgia"/>
          <w:color w:val="000000"/>
        </w:rPr>
        <w:t xml:space="preserve">Message framing research in marketing consistently distinguishes between </w:t>
      </w:r>
      <w:r>
        <w:rPr>
          <w:rFonts w:eastAsia="Georgia" w:hAnsi="Georgia" w:cs="Georgia"/>
          <w:b/>
          <w:color w:val="000000"/>
        </w:rPr>
        <w:t>gain frames</w:t>
      </w:r>
      <w:r>
        <w:rPr>
          <w:rFonts w:eastAsia="Georgia" w:hAnsi="Georgia" w:cs="Georgia"/>
          <w:color w:val="000000"/>
        </w:rPr>
        <w:t xml:space="preserve"> (emphasizing positive outcomes of an action or favorable aspects of a situation) and </w:t>
      </w:r>
      <w:r>
        <w:rPr>
          <w:rFonts w:eastAsia="Georgia" w:hAnsi="Georgia" w:cs="Georgia"/>
          <w:b/>
          <w:color w:val="000000"/>
        </w:rPr>
        <w:t>loss frames</w:t>
      </w:r>
      <w:r>
        <w:rPr>
          <w:rFonts w:eastAsia="Georgia" w:hAnsi="Georgia" w:cs="Georgia"/>
          <w:color w:val="000000"/>
        </w:rPr>
        <w:t xml:space="preserve"> (emphasizing negative consequences of inaction or the burdens of a situation). In a tariff context, a gain-framed message might emphasize how the company is absorbing part of the cost increase and maintaining quality for the consumer, while a loss-framed message might emphasize what prices could have been without mitigation efforts.</w:t>
      </w:r>
    </w:p>
    <w:p w14:paraId="67B8B3BE" w14:textId="77777777" w:rsidR="00272541" w:rsidRDefault="00000000">
      <w:pPr>
        <w:spacing w:after="210" w:line="360" w:lineRule="auto"/>
      </w:pPr>
      <w:r>
        <w:rPr>
          <w:rFonts w:eastAsia="Georgia" w:hAnsi="Georgia" w:cs="Georgia"/>
          <w:color w:val="000000"/>
        </w:rPr>
        <w:t xml:space="preserve">A recent experimental study in the </w:t>
      </w:r>
      <w:r>
        <w:rPr>
          <w:rFonts w:eastAsia="Georgia" w:hAnsi="Georgia" w:cs="Georgia"/>
          <w:i/>
          <w:color w:val="000000"/>
        </w:rPr>
        <w:t>Marketing Management Journal</w:t>
      </w:r>
      <w:r>
        <w:rPr>
          <w:rFonts w:eastAsia="Georgia" w:hAnsi="Georgia" w:cs="Georgia"/>
          <w:color w:val="000000"/>
        </w:rPr>
        <w:t xml:space="preserve"> by </w:t>
      </w:r>
      <w:hyperlink r:id="rId10">
        <w:r>
          <w:rPr>
            <w:rFonts w:ascii="helvetica neue" w:eastAsia="helvetica neue" w:hAnsi="helvetica neue" w:cs="helvetica neue"/>
            <w:u w:val="single"/>
          </w:rPr>
          <w:t>Rawal, Adjei, Melancon, and Sharma (2026)</w:t>
        </w:r>
      </w:hyperlink>
      <w:r>
        <w:rPr>
          <w:rFonts w:eastAsia="Georgia" w:hAnsi="Georgia" w:cs="Georgia"/>
          <w:color w:val="000000"/>
        </w:rPr>
        <w:t xml:space="preserve"> directly connects framing to reactance — a key theoretical link for the proposed study. Using a 2×3 design with 219 U.S. participants, the authors found that gain-framed messages produced significantly more positive brand and ad attitudes for rational and positive emotional appeals, with reactance mediating these effects. </w:t>
      </w:r>
      <w:hyperlink r:id="rId11">
        <w:r>
          <w:rPr>
            <w:rFonts w:ascii="helvetica neue" w:eastAsia="helvetica neue" w:hAnsi="helvetica neue" w:cs="helvetica neue"/>
            <w:u w:val="single"/>
          </w:rPr>
          <w:t xml:space="preserve">Mattila, </w:t>
        </w:r>
        <w:proofErr w:type="spellStart"/>
        <w:r>
          <w:rPr>
            <w:rFonts w:ascii="helvetica neue" w:eastAsia="helvetica neue" w:hAnsi="helvetica neue" w:cs="helvetica neue"/>
            <w:u w:val="single"/>
          </w:rPr>
          <w:t>Stadlthanner</w:t>
        </w:r>
        <w:proofErr w:type="spellEnd"/>
        <w:r>
          <w:rPr>
            <w:rFonts w:ascii="helvetica neue" w:eastAsia="helvetica neue" w:hAnsi="helvetica neue" w:cs="helvetica neue"/>
            <w:u w:val="single"/>
          </w:rPr>
          <w:t>, Andreu, Ribeiro, and Font (2022)</w:t>
        </w:r>
      </w:hyperlink>
      <w:r>
        <w:rPr>
          <w:rFonts w:eastAsia="Georgia" w:hAnsi="Georgia" w:cs="Georgia"/>
          <w:color w:val="000000"/>
        </w:rPr>
        <w:t xml:space="preserve"> extended this logic to CSR advertising, finding that gain- versus loss-framed messages induced discrete emotional responses (hope vs. guilt) that subsequently shaped consumer behavioral intentions — </w:t>
      </w:r>
      <w:r>
        <w:rPr>
          <w:rFonts w:eastAsia="Georgia" w:hAnsi="Georgia" w:cs="Georgia"/>
          <w:color w:val="000000"/>
        </w:rPr>
        <w:lastRenderedPageBreak/>
        <w:t>mediated through the S-O-R (Stimulus-Organism-Response) framework. This framework, which positions message characteristics as stimuli, psychological states (emotions, perceived fairness, reactance) as organism-level processes, and purchase intentions, brand attitudes, and word of mouth as responses, provides a natural structural model for the proposed tariff messaging study.</w:t>
      </w:r>
    </w:p>
    <w:p w14:paraId="33D46E78" w14:textId="77777777" w:rsidR="00272541" w:rsidRDefault="00000000">
      <w:pPr>
        <w:spacing w:after="210" w:line="360" w:lineRule="auto"/>
      </w:pPr>
      <w:r>
        <w:rPr>
          <w:rFonts w:eastAsia="Georgia" w:hAnsi="Georgia" w:cs="Georgia"/>
          <w:color w:val="000000"/>
        </w:rPr>
        <w:t xml:space="preserve">Moderating conditions further complicate the framing effect. </w:t>
      </w:r>
      <w:hyperlink r:id="rId12">
        <w:r>
          <w:rPr>
            <w:rFonts w:ascii="helvetica neue" w:eastAsia="helvetica neue" w:hAnsi="helvetica neue" w:cs="helvetica neue"/>
            <w:u w:val="single"/>
          </w:rPr>
          <w:t>Fu and Gao (2023)</w:t>
        </w:r>
      </w:hyperlink>
      <w:r>
        <w:rPr>
          <w:rFonts w:eastAsia="Georgia" w:hAnsi="Georgia" w:cs="Georgia"/>
          <w:color w:val="000000"/>
        </w:rPr>
        <w:t xml:space="preserve"> demonstrated that prior attitudes significantly interact with message frames: strong pre-existing attitudes amplify gain-frame effects, while weak attitudes make loss frames more persuasive. In the tariff context, this raises important questions about whether consumer political orientation — given documented partisan differences in tariff attitudes — moderates framing effects. </w:t>
      </w:r>
      <w:hyperlink r:id="rId13">
        <w:r>
          <w:rPr>
            <w:rFonts w:ascii="helvetica neue" w:eastAsia="helvetica neue" w:hAnsi="helvetica neue" w:cs="helvetica neue"/>
            <w:u w:val="single"/>
          </w:rPr>
          <w:t>Guzmán and colleagues (2024)</w:t>
        </w:r>
      </w:hyperlink>
      <w:r>
        <w:rPr>
          <w:rFonts w:eastAsia="Georgia" w:hAnsi="Georgia" w:cs="Georgia"/>
          <w:color w:val="000000"/>
        </w:rPr>
        <w:t xml:space="preserve"> demonstrated across four experiments that gain-framed politically correct messages yielded higher behavioral intentions than loss-framed or politically incorrect alternatives, and that perceived manipulative intent of the message mediated these effects. This is directly applicable to tariff messaging, where consumers may vary in their perceived motive behind a company's choice to reference tariffs publicly.</w:t>
      </w:r>
    </w:p>
    <w:p w14:paraId="779EC164" w14:textId="77777777" w:rsidR="00272541" w:rsidRDefault="00000000">
      <w:pPr>
        <w:spacing w:after="210" w:line="360" w:lineRule="auto"/>
      </w:pPr>
      <w:r>
        <w:rPr>
          <w:rFonts w:eastAsia="Georgia" w:hAnsi="Georgia" w:cs="Georgia"/>
          <w:color w:val="000000"/>
        </w:rPr>
        <w:t xml:space="preserve">A key extension for the proposed study is the introduction of a third message condition: </w:t>
      </w:r>
      <w:r>
        <w:rPr>
          <w:rFonts w:eastAsia="Georgia" w:hAnsi="Georgia" w:cs="Georgia"/>
          <w:b/>
          <w:color w:val="000000"/>
        </w:rPr>
        <w:t>no-frame / silence</w:t>
      </w:r>
      <w:r>
        <w:rPr>
          <w:rFonts w:eastAsia="Georgia" w:hAnsi="Georgia" w:cs="Georgia"/>
          <w:color w:val="000000"/>
        </w:rPr>
        <w:t xml:space="preserve">, in which the firm raises prices without explanation. The Morning Consult data </w:t>
      </w:r>
      <w:proofErr w:type="gramStart"/>
      <w:r>
        <w:rPr>
          <w:rFonts w:eastAsia="Georgia" w:hAnsi="Georgia" w:cs="Georgia"/>
          <w:color w:val="000000"/>
        </w:rPr>
        <w:t>suggest</w:t>
      </w:r>
      <w:proofErr w:type="gramEnd"/>
      <w:r>
        <w:rPr>
          <w:rFonts w:eastAsia="Georgia" w:hAnsi="Georgia" w:cs="Georgia"/>
          <w:color w:val="000000"/>
        </w:rPr>
        <w:t xml:space="preserve"> silence may be the most damaging option, but this has not been tested experimentally. Incorporating silence as a control condition against gain-framed and loss-framed tariff explanations would yield a clean 3-cell vignette experiment with high practical and theoretical relevance.</w:t>
      </w:r>
    </w:p>
    <w:p w14:paraId="206E0454" w14:textId="77777777" w:rsidR="00272541" w:rsidRDefault="00000000">
      <w:pPr>
        <w:spacing w:before="210" w:after="0" w:line="360" w:lineRule="auto"/>
      </w:pPr>
      <w:r>
        <w:rPr>
          <w:noProof/>
        </w:rPr>
      </w:r>
      <w:r>
        <w:rPr>
          <w:noProof/>
        </w:rPr>
        <w:pict w14:anchorId="45BF46D5">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A8CCAE" w14:textId="77777777" w:rsidR="00272541" w:rsidRDefault="00000000">
      <w:pPr>
        <w:spacing w:before="315" w:after="105" w:line="360" w:lineRule="auto"/>
        <w:ind w:left="-30"/>
      </w:pPr>
      <w:bookmarkStart w:id="5" w:name="psychological_reactance_theory"/>
      <w:r>
        <w:rPr>
          <w:rFonts w:eastAsia="Georgia" w:hAnsi="Georgia" w:cs="Georgia"/>
          <w:b/>
          <w:color w:val="000000"/>
          <w:sz w:val="24"/>
        </w:rPr>
        <w:t>Psychological Reactance Theory</w:t>
      </w:r>
      <w:bookmarkEnd w:id="5"/>
    </w:p>
    <w:p w14:paraId="61C0F198" w14:textId="77777777" w:rsidR="00272541" w:rsidRDefault="00000000">
      <w:pPr>
        <w:spacing w:after="210" w:line="360" w:lineRule="auto"/>
      </w:pPr>
      <w:r>
        <w:rPr>
          <w:rFonts w:eastAsia="Georgia" w:hAnsi="Georgia" w:cs="Georgia"/>
          <w:color w:val="000000"/>
        </w:rPr>
        <w:t xml:space="preserve">Psychological Reactance Theory (PRT), originally proposed by Brehm (1966) and elaborated in numerous subsequent reviews (e.g., </w:t>
      </w:r>
      <w:hyperlink r:id="rId14">
        <w:r>
          <w:rPr>
            <w:rFonts w:ascii="helvetica neue" w:eastAsia="helvetica neue" w:hAnsi="helvetica neue" w:cs="helvetica neue"/>
            <w:u w:val="single"/>
          </w:rPr>
          <w:t xml:space="preserve">Steindl, Jonas, Traut-Mattausch, Greenberg, and </w:t>
        </w:r>
        <w:proofErr w:type="spellStart"/>
        <w:r>
          <w:rPr>
            <w:rFonts w:ascii="helvetica neue" w:eastAsia="helvetica neue" w:hAnsi="helvetica neue" w:cs="helvetica neue"/>
            <w:u w:val="single"/>
          </w:rPr>
          <w:t>Sittenthaler</w:t>
        </w:r>
        <w:proofErr w:type="spellEnd"/>
        <w:r>
          <w:rPr>
            <w:rFonts w:ascii="helvetica neue" w:eastAsia="helvetica neue" w:hAnsi="helvetica neue" w:cs="helvetica neue"/>
            <w:u w:val="single"/>
          </w:rPr>
          <w:t>, 2015</w:t>
        </w:r>
      </w:hyperlink>
      <w:r>
        <w:rPr>
          <w:rFonts w:eastAsia="Georgia" w:hAnsi="Georgia" w:cs="Georgia"/>
          <w:color w:val="000000"/>
        </w:rPr>
        <w:t>), posits that when individuals perceive that their behavioral freedom is being threatened or eliminated, they experience an aversive motivational state — reactance — that drives them to restore that freedom. In consumer contexts, this often manifests as resistance to persuasive messages, boomerang effects (where persuasive attempts backfire), and heightened valuation of restricted or costly options.</w:t>
      </w:r>
    </w:p>
    <w:p w14:paraId="420151E0" w14:textId="77777777" w:rsidR="00272541" w:rsidRDefault="00000000">
      <w:pPr>
        <w:spacing w:after="210" w:line="360" w:lineRule="auto"/>
      </w:pPr>
      <w:r>
        <w:rPr>
          <w:rFonts w:eastAsia="Georgia" w:hAnsi="Georgia" w:cs="Georgia"/>
          <w:color w:val="000000"/>
        </w:rPr>
        <w:t xml:space="preserve">PRT is highly </w:t>
      </w:r>
      <w:proofErr w:type="gramStart"/>
      <w:r>
        <w:rPr>
          <w:rFonts w:eastAsia="Georgia" w:hAnsi="Georgia" w:cs="Georgia"/>
          <w:color w:val="000000"/>
        </w:rPr>
        <w:t>germane</w:t>
      </w:r>
      <w:proofErr w:type="gramEnd"/>
      <w:r>
        <w:rPr>
          <w:rFonts w:eastAsia="Georgia" w:hAnsi="Georgia" w:cs="Georgia"/>
          <w:color w:val="000000"/>
        </w:rPr>
        <w:t xml:space="preserve"> </w:t>
      </w:r>
      <w:proofErr w:type="gramStart"/>
      <w:r>
        <w:rPr>
          <w:rFonts w:eastAsia="Georgia" w:hAnsi="Georgia" w:cs="Georgia"/>
          <w:color w:val="000000"/>
        </w:rPr>
        <w:t>to</w:t>
      </w:r>
      <w:proofErr w:type="gramEnd"/>
      <w:r>
        <w:rPr>
          <w:rFonts w:eastAsia="Georgia" w:hAnsi="Georgia" w:cs="Georgia"/>
          <w:color w:val="000000"/>
        </w:rPr>
        <w:t xml:space="preserve"> tariff messaging for several reasons. First, any communication that explicitly connects price increases to external policy — implicitly or explicitly placing the firm's pricing decisions beyond the consumer's ability to negotiate — may trigger threat-to-freedom perceptions. </w:t>
      </w:r>
      <w:hyperlink r:id="rId15">
        <w:proofErr w:type="spellStart"/>
        <w:r>
          <w:rPr>
            <w:rFonts w:ascii="helvetica neue" w:eastAsia="helvetica neue" w:hAnsi="helvetica neue" w:cs="helvetica neue"/>
            <w:u w:val="single"/>
          </w:rPr>
          <w:t>Freudenreich</w:t>
        </w:r>
        <w:proofErr w:type="spellEnd"/>
        <w:r>
          <w:rPr>
            <w:rFonts w:ascii="helvetica neue" w:eastAsia="helvetica neue" w:hAnsi="helvetica neue" w:cs="helvetica neue"/>
            <w:u w:val="single"/>
          </w:rPr>
          <w:t xml:space="preserve"> and Penz (2024)</w:t>
        </w:r>
      </w:hyperlink>
      <w:r>
        <w:rPr>
          <w:rFonts w:eastAsia="Georgia" w:hAnsi="Georgia" w:cs="Georgia"/>
          <w:color w:val="000000"/>
        </w:rPr>
        <w:t xml:space="preserve">, publishing in </w:t>
      </w:r>
      <w:r>
        <w:rPr>
          <w:rFonts w:eastAsia="Georgia" w:hAnsi="Georgia" w:cs="Georgia"/>
          <w:i/>
          <w:color w:val="000000"/>
        </w:rPr>
        <w:t>JCM</w:t>
      </w:r>
      <w:r>
        <w:rPr>
          <w:rFonts w:eastAsia="Georgia" w:hAnsi="Georgia" w:cs="Georgia"/>
          <w:color w:val="000000"/>
        </w:rPr>
        <w:t xml:space="preserve">, found that assertive messaging in green advertising triggered reactance primarily among consumers with hedonic value orientations, while those with biospheric </w:t>
      </w:r>
      <w:r>
        <w:rPr>
          <w:rFonts w:eastAsia="Georgia" w:hAnsi="Georgia" w:cs="Georgia"/>
          <w:color w:val="000000"/>
        </w:rPr>
        <w:lastRenderedPageBreak/>
        <w:t>values were more receptive. The implications for tariff messaging are clear: the assertiveness or degree of external attribution in a company's tariff message may differentially activate reactance depending on consumer values and political orientation.</w:t>
      </w:r>
    </w:p>
    <w:p w14:paraId="47AEC94E" w14:textId="77777777" w:rsidR="00272541" w:rsidRDefault="00000000">
      <w:pPr>
        <w:spacing w:after="210" w:line="360" w:lineRule="auto"/>
      </w:pPr>
      <w:r>
        <w:rPr>
          <w:rFonts w:eastAsia="Georgia" w:hAnsi="Georgia" w:cs="Georgia"/>
          <w:color w:val="000000"/>
        </w:rPr>
        <w:t xml:space="preserve">Second, reactance theory predicts that certain message characteristics reduce threat perceptions and thus lower reactance. </w:t>
      </w:r>
      <w:hyperlink r:id="rId16">
        <w:r>
          <w:rPr>
            <w:rFonts w:ascii="helvetica neue" w:eastAsia="helvetica neue" w:hAnsi="helvetica neue" w:cs="helvetica neue"/>
            <w:u w:val="single"/>
          </w:rPr>
          <w:t>Pavey and Churchill (2014)</w:t>
        </w:r>
      </w:hyperlink>
      <w:r>
        <w:rPr>
          <w:rFonts w:eastAsia="Georgia" w:hAnsi="Georgia" w:cs="Georgia"/>
          <w:color w:val="000000"/>
        </w:rPr>
        <w:t xml:space="preserve"> showed that priming consumer autonomy — highlighting choice and freedom — attenuated reactance to health promotion messages. Applied to tariff communication, messages that emphasize consumer </w:t>
      </w:r>
      <w:proofErr w:type="gramStart"/>
      <w:r>
        <w:rPr>
          <w:rFonts w:eastAsia="Georgia" w:hAnsi="Georgia" w:cs="Georgia"/>
          <w:color w:val="000000"/>
        </w:rPr>
        <w:t>agency</w:t>
      </w:r>
      <w:proofErr w:type="gramEnd"/>
      <w:r>
        <w:rPr>
          <w:rFonts w:eastAsia="Georgia" w:hAnsi="Georgia" w:cs="Georgia"/>
          <w:color w:val="000000"/>
        </w:rPr>
        <w:t xml:space="preserve"> (e.g., "we want you to make the most informed choice for your budget") may reduce perceived freedom threat compared to messages that simply declare price changes as fait accompli.</w:t>
      </w:r>
    </w:p>
    <w:p w14:paraId="176D8164" w14:textId="77777777" w:rsidR="00272541" w:rsidRDefault="00000000">
      <w:pPr>
        <w:spacing w:after="210" w:line="360" w:lineRule="auto"/>
      </w:pPr>
      <w:r>
        <w:rPr>
          <w:rFonts w:eastAsia="Georgia" w:hAnsi="Georgia" w:cs="Georgia"/>
          <w:color w:val="000000"/>
        </w:rPr>
        <w:t xml:space="preserve">Third, </w:t>
      </w:r>
      <w:hyperlink r:id="rId17">
        <w:r>
          <w:rPr>
            <w:rFonts w:ascii="helvetica neue" w:eastAsia="helvetica neue" w:hAnsi="helvetica neue" w:cs="helvetica neue"/>
            <w:u w:val="single"/>
          </w:rPr>
          <w:t>Amarnath and Jaidev (2020)</w:t>
        </w:r>
      </w:hyperlink>
      <w:r>
        <w:rPr>
          <w:rFonts w:eastAsia="Georgia" w:hAnsi="Georgia" w:cs="Georgia"/>
          <w:color w:val="000000"/>
        </w:rPr>
        <w:t xml:space="preserve"> developed an integrated model of consumer reactance confirming that reactance is composed of both cognitive (negative thought generation) and affective (anger) components and that these differentially predict outcomes such as message rejection and intent to switch brands. In the tariff messaging context, both anger (toward the firm for raising prices) and negative cognition (suspicion of price gouging or opportunism) are plausible outcomes that the proposed study could measure as mediators.</w:t>
      </w:r>
    </w:p>
    <w:p w14:paraId="5F099AD0" w14:textId="77777777" w:rsidR="00272541" w:rsidRDefault="00000000">
      <w:pPr>
        <w:spacing w:after="210" w:line="360" w:lineRule="auto"/>
      </w:pPr>
      <w:r>
        <w:rPr>
          <w:rFonts w:eastAsia="Georgia" w:hAnsi="Georgia" w:cs="Georgia"/>
          <w:color w:val="000000"/>
        </w:rPr>
        <w:t>Finally, the link between framing and reactance is directly theorized. Rawal et al. (2026) found that reactance mediates the relationship between gain/loss frames and consumer attitudes, establishing an empirically validated pathway: message frame → reactance → brand attitude/purchase intention. This sequential mediation model provides a theoretically grounded and testable mechanism for the proposed study.</w:t>
      </w:r>
    </w:p>
    <w:p w14:paraId="0E851454" w14:textId="77777777" w:rsidR="00272541" w:rsidRDefault="00000000">
      <w:pPr>
        <w:spacing w:before="210" w:after="0" w:line="360" w:lineRule="auto"/>
      </w:pPr>
      <w:r>
        <w:rPr>
          <w:noProof/>
        </w:rPr>
      </w:r>
      <w:r>
        <w:rPr>
          <w:noProof/>
        </w:rPr>
        <w:pict w14:anchorId="56249DFA">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2698A2C" w14:textId="77777777" w:rsidR="00272541" w:rsidRDefault="00000000">
      <w:pPr>
        <w:spacing w:before="315" w:after="105" w:line="360" w:lineRule="auto"/>
        <w:ind w:left="-30"/>
      </w:pPr>
      <w:bookmarkStart w:id="6" w:name="price_fairness_theory_and_the_dua_661c79"/>
      <w:r>
        <w:rPr>
          <w:rFonts w:eastAsia="Georgia" w:hAnsi="Georgia" w:cs="Georgia"/>
          <w:b/>
          <w:color w:val="000000"/>
          <w:sz w:val="24"/>
        </w:rPr>
        <w:t>Price Fairness Theory and the Dual Entitlement Principle</w:t>
      </w:r>
      <w:bookmarkEnd w:id="6"/>
    </w:p>
    <w:p w14:paraId="45E6818A" w14:textId="77777777" w:rsidR="00272541" w:rsidRDefault="00000000">
      <w:pPr>
        <w:spacing w:after="210" w:line="360" w:lineRule="auto"/>
      </w:pPr>
      <w:r>
        <w:rPr>
          <w:rFonts w:eastAsia="Georgia" w:hAnsi="Georgia" w:cs="Georgia"/>
          <w:color w:val="000000"/>
        </w:rPr>
        <w:t xml:space="preserve">A third and crucial theoretical pillar is price fairness theory, particularly Kahneman, Knetsch, and Thaler's (1986) dual entitlement principle. This principle holds that consumers grant firms a reference profit and grant themselves a reference price, and that price increases are perceived as fair when they can be attributed to increased costs rather than to opportunistic profit-seeking. Critically, the theory predicts that </w:t>
      </w:r>
      <w:r>
        <w:rPr>
          <w:rFonts w:eastAsia="Georgia" w:hAnsi="Georgia" w:cs="Georgia"/>
          <w:b/>
          <w:color w:val="000000"/>
        </w:rPr>
        <w:t>external attribution</w:t>
      </w:r>
      <w:r>
        <w:rPr>
          <w:rFonts w:eastAsia="Georgia" w:hAnsi="Georgia" w:cs="Georgia"/>
          <w:color w:val="000000"/>
        </w:rPr>
        <w:t xml:space="preserve"> of price increases (e.g., "our costs went up due to tariffs") generates higher fairness perceptions than </w:t>
      </w:r>
      <w:r>
        <w:rPr>
          <w:rFonts w:eastAsia="Georgia" w:hAnsi="Georgia" w:cs="Georgia"/>
          <w:b/>
          <w:color w:val="000000"/>
        </w:rPr>
        <w:t>internal attribution</w:t>
      </w:r>
      <w:r>
        <w:rPr>
          <w:rFonts w:eastAsia="Georgia" w:hAnsi="Georgia" w:cs="Georgia"/>
          <w:color w:val="000000"/>
        </w:rPr>
        <w:t xml:space="preserve"> ("we're raising prices"), because cost-driven increases align with the consumer's entitlement expectations.</w:t>
      </w:r>
    </w:p>
    <w:p w14:paraId="370476E1" w14:textId="77777777" w:rsidR="00272541" w:rsidRDefault="00000000">
      <w:pPr>
        <w:spacing w:after="210" w:line="360" w:lineRule="auto"/>
      </w:pPr>
      <w:r>
        <w:rPr>
          <w:rFonts w:eastAsia="Georgia" w:hAnsi="Georgia" w:cs="Georgia"/>
          <w:color w:val="000000"/>
        </w:rPr>
        <w:t xml:space="preserve">This prediction is empirically supported in crisis contexts. </w:t>
      </w:r>
      <w:hyperlink r:id="rId18">
        <w:r>
          <w:rPr>
            <w:rFonts w:ascii="helvetica neue" w:eastAsia="helvetica neue" w:hAnsi="helvetica neue" w:cs="helvetica neue"/>
            <w:u w:val="single"/>
          </w:rPr>
          <w:t>Snir, Levy, Levy, and Chen (2024)</w:t>
        </w:r>
      </w:hyperlink>
      <w:r>
        <w:rPr>
          <w:rFonts w:eastAsia="Georgia" w:hAnsi="Georgia" w:cs="Georgia"/>
          <w:color w:val="000000"/>
        </w:rPr>
        <w:t xml:space="preserve"> conducted U.S. and Israeli surveys during the COVID-19 pandemic and confirmed that consumers perceived price increases as significantly more acceptable when attributed to cost shocks versus </w:t>
      </w:r>
      <w:r>
        <w:rPr>
          <w:rFonts w:eastAsia="Georgia" w:hAnsi="Georgia" w:cs="Georgia"/>
          <w:color w:val="000000"/>
        </w:rPr>
        <w:lastRenderedPageBreak/>
        <w:t xml:space="preserve">demand-driven motives, consistent with dual entitlement. Similarly, </w:t>
      </w:r>
      <w:hyperlink r:id="rId19">
        <w:r>
          <w:rPr>
            <w:rFonts w:ascii="helvetica neue" w:eastAsia="helvetica neue" w:hAnsi="helvetica neue" w:cs="helvetica neue"/>
            <w:u w:val="single"/>
          </w:rPr>
          <w:t>Jeong, Ye, Zhang, Suri, and Bhatt (2021)</w:t>
        </w:r>
      </w:hyperlink>
      <w:r>
        <w:rPr>
          <w:rFonts w:eastAsia="Georgia" w:hAnsi="Georgia" w:cs="Georgia"/>
          <w:color w:val="000000"/>
        </w:rPr>
        <w:t xml:space="preserve"> conducted a longitudinal study during the pandemic showing that consumer price fairness perceptions fluctuated with the perceived justifiability of retailers' pricing decisions across lockdown phases.</w:t>
      </w:r>
    </w:p>
    <w:p w14:paraId="41517738" w14:textId="77777777" w:rsidR="00272541" w:rsidRDefault="00000000">
      <w:pPr>
        <w:spacing w:after="210" w:line="360" w:lineRule="auto"/>
      </w:pPr>
      <w:r>
        <w:rPr>
          <w:rFonts w:eastAsia="Georgia" w:hAnsi="Georgia" w:cs="Georgia"/>
          <w:color w:val="000000"/>
        </w:rPr>
        <w:t xml:space="preserve">In the tariff context, dual entitlement theory generates specific predictions. A tariff-attribution message ("we're raising prices because of new import tariffs") should yield higher perceived fairness than a vague "rising costs" message or no message at all, because it provides a verifiable external cause. However, the theory also predicts limits: if consumers suspect that tariffs are being used as a pretext for profit expansion, perceived fairness will decline sharply. </w:t>
      </w:r>
      <w:hyperlink r:id="rId20">
        <w:r>
          <w:rPr>
            <w:rFonts w:ascii="helvetica neue" w:eastAsia="helvetica neue" w:hAnsi="helvetica neue" w:cs="helvetica neue"/>
            <w:u w:val="single"/>
          </w:rPr>
          <w:t>Yıldırım, Koç, and Güzel (2024)</w:t>
        </w:r>
      </w:hyperlink>
      <w:r>
        <w:rPr>
          <w:rFonts w:eastAsia="Georgia" w:hAnsi="Georgia" w:cs="Georgia"/>
          <w:color w:val="000000"/>
        </w:rPr>
        <w:t xml:space="preserve"> analyzed 4,001 consumer complaint records from the COVID-19 pandemic using attribution theory and equity theory, finding that profit-oriented motives attributed to third-party sellers were the primary driver of price gouging perceptions — and that consumer equity comparisons (using before-and-after language) fueled the most intense complaints.</w:t>
      </w:r>
    </w:p>
    <w:p w14:paraId="6D57853E" w14:textId="77777777" w:rsidR="00272541" w:rsidRDefault="00000000">
      <w:pPr>
        <w:spacing w:after="210" w:line="360" w:lineRule="auto"/>
      </w:pPr>
      <w:r>
        <w:rPr>
          <w:rFonts w:eastAsia="Georgia" w:hAnsi="Georgia" w:cs="Georgia"/>
          <w:color w:val="000000"/>
        </w:rPr>
        <w:t xml:space="preserve">The </w:t>
      </w:r>
      <w:hyperlink r:id="rId21">
        <w:r>
          <w:rPr>
            <w:rFonts w:ascii="helvetica neue" w:eastAsia="helvetica neue" w:hAnsi="helvetica neue" w:cs="helvetica neue"/>
            <w:u w:val="single"/>
          </w:rPr>
          <w:t>Grant Thornton advisory on tariff communication</w:t>
        </w:r>
      </w:hyperlink>
      <w:r>
        <w:rPr>
          <w:rFonts w:eastAsia="Georgia" w:hAnsi="Georgia" w:cs="Georgia"/>
          <w:color w:val="000000"/>
        </w:rPr>
        <w:t xml:space="preserve"> warns of precisely this dynamic: messages that emphasize government policy as the cause risk appearing to "blame" tariffs in ways that alienate consumers who support the tariffs politically. This political moderation of the attribution-fairness relationship is a theoretically interesting and understudied boundary condition. </w:t>
      </w:r>
      <w:hyperlink r:id="rId22">
        <w:r>
          <w:rPr>
            <w:rFonts w:ascii="helvetica neue" w:eastAsia="helvetica neue" w:hAnsi="helvetica neue" w:cs="helvetica neue"/>
            <w:u w:val="single"/>
          </w:rPr>
          <w:t>Guzman and colleagues' (2024)</w:t>
        </w:r>
      </w:hyperlink>
      <w:r>
        <w:rPr>
          <w:rFonts w:eastAsia="Georgia" w:hAnsi="Georgia" w:cs="Georgia"/>
          <w:color w:val="000000"/>
        </w:rPr>
        <w:t xml:space="preserve"> work on politically correct vs. incorrect messages found that political partisanship moderated message effectiveness — a finding with strong parallels to tariff messaging, given documented partisan divides in tariff support.</w:t>
      </w:r>
    </w:p>
    <w:p w14:paraId="519F9CED" w14:textId="77777777" w:rsidR="00272541" w:rsidRDefault="00000000">
      <w:pPr>
        <w:spacing w:after="210" w:line="360" w:lineRule="auto"/>
      </w:pPr>
      <w:hyperlink r:id="rId23">
        <w:r>
          <w:rPr>
            <w:rFonts w:ascii="helvetica neue" w:eastAsia="helvetica neue" w:hAnsi="helvetica neue" w:cs="helvetica neue"/>
            <w:u w:val="single"/>
          </w:rPr>
          <w:t>Young and Bambauer-Sachse (2023)</w:t>
        </w:r>
      </w:hyperlink>
      <w:r>
        <w:rPr>
          <w:rFonts w:eastAsia="Georgia" w:hAnsi="Georgia" w:cs="Georgia"/>
          <w:color w:val="000000"/>
        </w:rPr>
        <w:t xml:space="preserve"> provide additional nuance: price confusion — difficulty understanding why prices changed — triggers price unfairness perceptions that cascade into negative word-of-mouth intentions. This suggests that tariff messaging clarity (not just attribution) matters for downstream outcomes, and that message type (simple explanation vs. receipt line item vs. no message) should vary on both attribution clarity and emotional tone.</w:t>
      </w:r>
    </w:p>
    <w:p w14:paraId="7353FE3F" w14:textId="77777777" w:rsidR="00272541" w:rsidRDefault="00000000">
      <w:pPr>
        <w:spacing w:before="210" w:after="0" w:line="360" w:lineRule="auto"/>
      </w:pPr>
      <w:r>
        <w:rPr>
          <w:noProof/>
        </w:rPr>
      </w:r>
      <w:r>
        <w:rPr>
          <w:noProof/>
        </w:rPr>
        <w:pict w14:anchorId="43262C5C">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4DA208" w14:textId="77777777" w:rsidR="00272541" w:rsidRDefault="00000000">
      <w:pPr>
        <w:spacing w:before="315" w:after="105" w:line="360" w:lineRule="auto"/>
        <w:ind w:left="-30"/>
      </w:pPr>
      <w:bookmarkStart w:id="7" w:name="corporate_crisis_communication_an_c57110"/>
      <w:r>
        <w:rPr>
          <w:rFonts w:eastAsia="Georgia" w:hAnsi="Georgia" w:cs="Georgia"/>
          <w:b/>
          <w:color w:val="000000"/>
          <w:sz w:val="24"/>
        </w:rPr>
        <w:t>Corporate Crisis Communication and Transparency</w:t>
      </w:r>
      <w:bookmarkEnd w:id="7"/>
    </w:p>
    <w:p w14:paraId="554E0384" w14:textId="77777777" w:rsidR="00272541" w:rsidRDefault="00000000">
      <w:pPr>
        <w:spacing w:after="210" w:line="360" w:lineRule="auto"/>
      </w:pPr>
      <w:r>
        <w:rPr>
          <w:rFonts w:eastAsia="Georgia" w:hAnsi="Georgia" w:cs="Georgia"/>
          <w:color w:val="000000"/>
        </w:rPr>
        <w:t xml:space="preserve">Tariff-related price increases represent a form of firm-level strain that shares characteristics with corporate crises — specifically, externally caused situations that require deliberate communication to manage stakeholder perceptions. The crisis communication literature offers a well-developed framework, particularly </w:t>
      </w:r>
      <w:proofErr w:type="spellStart"/>
      <w:r>
        <w:rPr>
          <w:rFonts w:eastAsia="Georgia" w:hAnsi="Georgia" w:cs="Georgia"/>
          <w:color w:val="000000"/>
        </w:rPr>
        <w:t>Coombs'</w:t>
      </w:r>
      <w:proofErr w:type="spellEnd"/>
      <w:r>
        <w:rPr>
          <w:rFonts w:eastAsia="Georgia" w:hAnsi="Georgia" w:cs="Georgia"/>
          <w:color w:val="000000"/>
        </w:rPr>
        <w:t xml:space="preserve"> Situational Crisis Communication Theory (SCCT), which holds that response strategies should match the level of organizational responsibility. Because tariffs are </w:t>
      </w:r>
      <w:r>
        <w:rPr>
          <w:rFonts w:eastAsia="Georgia" w:hAnsi="Georgia" w:cs="Georgia"/>
          <w:color w:val="000000"/>
        </w:rPr>
        <w:lastRenderedPageBreak/>
        <w:t>externally imposed, firms occupy a "victim" crisis position — meaning that straightforward explanation (rather than apology or compensation) is typically the appropriate response strategy.</w:t>
      </w:r>
    </w:p>
    <w:p w14:paraId="2CE9CD79" w14:textId="77777777" w:rsidR="00272541" w:rsidRDefault="00000000">
      <w:pPr>
        <w:spacing w:after="210" w:line="360" w:lineRule="auto"/>
      </w:pPr>
      <w:hyperlink r:id="rId24">
        <w:r>
          <w:rPr>
            <w:rFonts w:ascii="helvetica neue" w:eastAsia="helvetica neue" w:hAnsi="helvetica neue" w:cs="helvetica neue"/>
            <w:u w:val="single"/>
          </w:rPr>
          <w:t xml:space="preserve">Stadler Blank, Loveland, Cheng, Beck, and </w:t>
        </w:r>
        <w:proofErr w:type="spellStart"/>
        <w:r>
          <w:rPr>
            <w:rFonts w:ascii="helvetica neue" w:eastAsia="helvetica neue" w:hAnsi="helvetica neue" w:cs="helvetica neue"/>
            <w:u w:val="single"/>
          </w:rPr>
          <w:t>Rundus</w:t>
        </w:r>
        <w:proofErr w:type="spellEnd"/>
        <w:r>
          <w:rPr>
            <w:rFonts w:ascii="helvetica neue" w:eastAsia="helvetica neue" w:hAnsi="helvetica neue" w:cs="helvetica neue"/>
            <w:u w:val="single"/>
          </w:rPr>
          <w:t xml:space="preserve"> (2023)</w:t>
        </w:r>
      </w:hyperlink>
      <w:r>
        <w:rPr>
          <w:rFonts w:eastAsia="Georgia" w:hAnsi="Georgia" w:cs="Georgia"/>
          <w:color w:val="000000"/>
        </w:rPr>
        <w:t xml:space="preserve"> tested nine CSR communication types during COVID-19 and found that "communication of operational changes" was among the least favorably received CSR types — suggesting that purely informational, firm-centric communications can feel cold or insufficient when consumers are emotionally affected by external forces. This implies that tariff messages need more than information; they require empathy, mitigation evidence, and connection to brand values to effectively manage consumer responses. </w:t>
      </w:r>
      <w:hyperlink r:id="rId25">
        <w:r>
          <w:rPr>
            <w:rFonts w:ascii="helvetica neue" w:eastAsia="helvetica neue" w:hAnsi="helvetica neue" w:cs="helvetica neue"/>
            <w:u w:val="single"/>
          </w:rPr>
          <w:t>Yang, Basile, and Zhao (2024)</w:t>
        </w:r>
      </w:hyperlink>
      <w:r>
        <w:rPr>
          <w:rFonts w:eastAsia="Georgia" w:hAnsi="Georgia" w:cs="Georgia"/>
          <w:color w:val="000000"/>
        </w:rPr>
        <w:t xml:space="preserve"> similarly found that proactive, accommodative, and interactive CSR communication strategies on social media had significant impacts on consumer sentiment polarity and magnitude during victim crises, suggesting that tariff messaging that actively engages with consumer concerns (rather than merely announcing price changes) would outperform passive announcement.</w:t>
      </w:r>
    </w:p>
    <w:p w14:paraId="207C71BA" w14:textId="77777777" w:rsidR="00272541" w:rsidRDefault="00000000">
      <w:pPr>
        <w:spacing w:after="210" w:line="360" w:lineRule="auto"/>
      </w:pPr>
      <w:hyperlink r:id="rId26">
        <w:r>
          <w:rPr>
            <w:rFonts w:ascii="helvetica neue" w:eastAsia="helvetica neue" w:hAnsi="helvetica neue" w:cs="helvetica neue"/>
            <w:u w:val="single"/>
          </w:rPr>
          <w:t>Ham and Kim (2019)</w:t>
        </w:r>
      </w:hyperlink>
      <w:r>
        <w:rPr>
          <w:rFonts w:eastAsia="Georgia" w:hAnsi="Georgia" w:cs="Georgia"/>
          <w:color w:val="000000"/>
        </w:rPr>
        <w:t xml:space="preserve"> integrated SCCT with the Persuasion Knowledge Model, proposing that crisis responses can backfire when consumers activate persuasion knowledge — recognizing that </w:t>
      </w:r>
      <w:proofErr w:type="gramStart"/>
      <w:r>
        <w:rPr>
          <w:rFonts w:eastAsia="Georgia" w:hAnsi="Georgia" w:cs="Georgia"/>
          <w:color w:val="000000"/>
        </w:rPr>
        <w:t>the communication</w:t>
      </w:r>
      <w:proofErr w:type="gramEnd"/>
      <w:r>
        <w:rPr>
          <w:rFonts w:eastAsia="Georgia" w:hAnsi="Georgia" w:cs="Georgia"/>
          <w:color w:val="000000"/>
        </w:rPr>
        <w:t xml:space="preserve"> is strategically motivated to protect the firm's interests. This aligns closely with the reactance mechanism: a tariff message perceived as self-serving (e.g., using tariffs as cover for opportunistic pricing) should activate both persuasion knowledge and reactance, producing a double-mediation pathway from message type to negative brand evaluations.</w:t>
      </w:r>
    </w:p>
    <w:p w14:paraId="6123AD15" w14:textId="77777777" w:rsidR="00272541" w:rsidRDefault="00000000">
      <w:pPr>
        <w:spacing w:after="210" w:line="360" w:lineRule="auto"/>
      </w:pPr>
      <w:r>
        <w:rPr>
          <w:rFonts w:eastAsia="Georgia" w:hAnsi="Georgia" w:cs="Georgia"/>
          <w:color w:val="000000"/>
        </w:rPr>
        <w:t xml:space="preserve">In practical terms, </w:t>
      </w:r>
      <w:hyperlink r:id="rId27">
        <w:proofErr w:type="spellStart"/>
        <w:r>
          <w:rPr>
            <w:rFonts w:ascii="helvetica neue" w:eastAsia="helvetica neue" w:hAnsi="helvetica neue" w:cs="helvetica neue"/>
            <w:u w:val="single"/>
          </w:rPr>
          <w:t>FleishmanHillard's</w:t>
        </w:r>
        <w:proofErr w:type="spellEnd"/>
        <w:r>
          <w:rPr>
            <w:rFonts w:ascii="helvetica neue" w:eastAsia="helvetica neue" w:hAnsi="helvetica neue" w:cs="helvetica neue"/>
            <w:u w:val="single"/>
          </w:rPr>
          <w:t xml:space="preserve"> (2025)</w:t>
        </w:r>
      </w:hyperlink>
      <w:r>
        <w:rPr>
          <w:rFonts w:eastAsia="Georgia" w:hAnsi="Georgia" w:cs="Georgia"/>
          <w:color w:val="000000"/>
        </w:rPr>
        <w:t xml:space="preserve"> guidelines distinguish six communication principles: lead with transparency (not excuses), make it personal not political, show mitigation efforts, ensure cross-channel consistency, reinforce brand values, and prepare for emotional responses. Each of these principles corresponds to a testable dimension of message content — transparency, empathy, mitigation disclosure, and value alignment — that could be experimentally varied.</w:t>
      </w:r>
    </w:p>
    <w:p w14:paraId="30B3E788" w14:textId="77777777" w:rsidR="00272541" w:rsidRDefault="00000000">
      <w:pPr>
        <w:spacing w:before="210" w:after="0" w:line="360" w:lineRule="auto"/>
      </w:pPr>
      <w:r>
        <w:rPr>
          <w:noProof/>
        </w:rPr>
      </w:r>
      <w:r>
        <w:rPr>
          <w:noProof/>
        </w:rPr>
        <w:pict w14:anchorId="21203965">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C60B46" w14:textId="77777777" w:rsidR="00272541" w:rsidRDefault="00000000">
      <w:pPr>
        <w:spacing w:before="315" w:after="105" w:line="360" w:lineRule="auto"/>
        <w:ind w:left="-30"/>
      </w:pPr>
      <w:bookmarkStart w:id="8" w:name="consumer_trust_brand_attitudes_an_7d9d61"/>
      <w:r>
        <w:rPr>
          <w:rFonts w:eastAsia="Georgia" w:hAnsi="Georgia" w:cs="Georgia"/>
          <w:b/>
          <w:color w:val="000000"/>
          <w:sz w:val="24"/>
        </w:rPr>
        <w:t>Consumer Trust, Brand Attitudes, and Purchase Intentions</w:t>
      </w:r>
      <w:bookmarkEnd w:id="8"/>
    </w:p>
    <w:p w14:paraId="48AB3F1E" w14:textId="77777777" w:rsidR="00272541" w:rsidRDefault="00000000">
      <w:pPr>
        <w:spacing w:after="210" w:line="360" w:lineRule="auto"/>
      </w:pPr>
      <w:r>
        <w:rPr>
          <w:rFonts w:eastAsia="Georgia" w:hAnsi="Georgia" w:cs="Georgia"/>
          <w:color w:val="000000"/>
        </w:rPr>
        <w:t xml:space="preserve">The downstream outcomes of tariff messaging form the dependent variable space for the proposed study. Consumer trust is emerging as the central currency of brand relationships during economic disruption. </w:t>
      </w:r>
      <w:hyperlink r:id="rId28">
        <w:proofErr w:type="spellStart"/>
        <w:r>
          <w:rPr>
            <w:rFonts w:ascii="helvetica neue" w:eastAsia="helvetica neue" w:hAnsi="helvetica neue" w:cs="helvetica neue"/>
            <w:u w:val="single"/>
          </w:rPr>
          <w:t>UserTesting's</w:t>
        </w:r>
        <w:proofErr w:type="spellEnd"/>
        <w:r>
          <w:rPr>
            <w:rFonts w:ascii="helvetica neue" w:eastAsia="helvetica neue" w:hAnsi="helvetica neue" w:cs="helvetica neue"/>
            <w:u w:val="single"/>
          </w:rPr>
          <w:t xml:space="preserve"> survey</w:t>
        </w:r>
      </w:hyperlink>
      <w:r>
        <w:rPr>
          <w:rFonts w:eastAsia="Georgia" w:hAnsi="Georgia" w:cs="Georgia"/>
          <w:color w:val="000000"/>
        </w:rPr>
        <w:t xml:space="preserve"> found that 72% of consumers say transparency is critical to maintaining trust, yet only 50% remained loyal even with transparency, underscoring that trust is necessary but not sufficient for retention. </w:t>
      </w:r>
      <w:hyperlink r:id="rId29">
        <w:r>
          <w:rPr>
            <w:rFonts w:ascii="helvetica neue" w:eastAsia="helvetica neue" w:hAnsi="helvetica neue" w:cs="helvetica neue"/>
            <w:u w:val="single"/>
          </w:rPr>
          <w:t>EMARKETER's analysis</w:t>
        </w:r>
      </w:hyperlink>
      <w:r>
        <w:rPr>
          <w:rFonts w:eastAsia="Georgia" w:hAnsi="Georgia" w:cs="Georgia"/>
          <w:color w:val="000000"/>
        </w:rPr>
        <w:t xml:space="preserve"> suggests tariff-induced changes in consumer behavior will persist long after policies shift, with "an inflation psychology" reshaping value-conscious decision-making.</w:t>
      </w:r>
    </w:p>
    <w:p w14:paraId="6CA12EB3" w14:textId="77777777" w:rsidR="00272541" w:rsidRDefault="00000000">
      <w:pPr>
        <w:spacing w:after="210" w:line="360" w:lineRule="auto"/>
      </w:pPr>
      <w:hyperlink r:id="rId30">
        <w:r>
          <w:rPr>
            <w:rFonts w:ascii="helvetica neue" w:eastAsia="helvetica neue" w:hAnsi="helvetica neue" w:cs="helvetica neue"/>
            <w:u w:val="single"/>
          </w:rPr>
          <w:t>Arango and colleagues (2024)</w:t>
        </w:r>
      </w:hyperlink>
      <w:r>
        <w:rPr>
          <w:rFonts w:eastAsia="Georgia" w:hAnsi="Georgia" w:cs="Georgia"/>
          <w:color w:val="000000"/>
        </w:rPr>
        <w:t xml:space="preserve"> demonstrated that benefit framing shapes consumer willingness to try new products by activating curiosity as a mediating variable, illustrating that the psychological mechanisms linking message content to behavioral intention are both theoretically tractable and empirically accessible in experimental designs. The S-O-R framework systematically organizes the proposed study's outcome space: the message is the stimulus, trust/fairness perceptions and reactance are organism-level responses, and brand attitudes, purchase intentions, and negative WOM intentions are behavioral response variables.</w:t>
      </w:r>
    </w:p>
    <w:p w14:paraId="7E89754C" w14:textId="77777777" w:rsidR="00272541" w:rsidRDefault="00000000">
      <w:pPr>
        <w:spacing w:after="210" w:line="360" w:lineRule="auto"/>
      </w:pPr>
      <w:r>
        <w:rPr>
          <w:rFonts w:eastAsia="Georgia" w:hAnsi="Georgia" w:cs="Georgia"/>
          <w:color w:val="000000"/>
        </w:rPr>
        <w:t xml:space="preserve">Finally, </w:t>
      </w:r>
      <w:hyperlink r:id="rId31">
        <w:proofErr w:type="spellStart"/>
        <w:r>
          <w:rPr>
            <w:rFonts w:ascii="helvetica neue" w:eastAsia="helvetica neue" w:hAnsi="helvetica neue" w:cs="helvetica neue"/>
            <w:u w:val="single"/>
          </w:rPr>
          <w:t>Ilicic</w:t>
        </w:r>
        <w:proofErr w:type="spellEnd"/>
        <w:r>
          <w:rPr>
            <w:rFonts w:ascii="helvetica neue" w:eastAsia="helvetica neue" w:hAnsi="helvetica neue" w:cs="helvetica neue"/>
            <w:u w:val="single"/>
          </w:rPr>
          <w:t xml:space="preserve"> and Brennan's (2026)</w:t>
        </w:r>
      </w:hyperlink>
      <w:r>
        <w:rPr>
          <w:rFonts w:eastAsia="Georgia" w:hAnsi="Georgia" w:cs="Georgia"/>
          <w:color w:val="000000"/>
        </w:rPr>
        <w:t xml:space="preserve"> multi-study investigation published in the </w:t>
      </w:r>
      <w:r>
        <w:rPr>
          <w:rFonts w:eastAsia="Georgia" w:hAnsi="Georgia" w:cs="Georgia"/>
          <w:i/>
          <w:color w:val="000000"/>
        </w:rPr>
        <w:t>Journal of Marketing</w:t>
      </w:r>
      <w:r>
        <w:rPr>
          <w:rFonts w:eastAsia="Georgia" w:hAnsi="Georgia" w:cs="Georgia"/>
          <w:color w:val="000000"/>
        </w:rPr>
        <w:t xml:space="preserve"> demonstrated that political ideology shapes consumer responses to messaging through the mediating role of sense of agency and reduced perceived danger — directly relevant to a study where tariff messaging is likely to activate political identity. This suggests that political orientation (pro-tariff vs. anti-tariff) should be included as a measured moderator in the proposed study, particularly given Morning Consult's finding that Republicans responded more negatively to brand tariff messaging than Democrats across all message types.</w:t>
      </w:r>
    </w:p>
    <w:p w14:paraId="7A65D094" w14:textId="77777777" w:rsidR="00272541" w:rsidRDefault="00000000">
      <w:pPr>
        <w:spacing w:before="210" w:after="0" w:line="360" w:lineRule="auto"/>
      </w:pPr>
      <w:r>
        <w:rPr>
          <w:noProof/>
        </w:rPr>
      </w:r>
      <w:r>
        <w:rPr>
          <w:noProof/>
        </w:rPr>
        <w:pict w14:anchorId="6E85C68B">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FFB43B" w14:textId="77777777" w:rsidR="00272541" w:rsidRDefault="00000000">
      <w:pPr>
        <w:spacing w:before="315" w:after="105" w:line="360" w:lineRule="auto"/>
        <w:ind w:left="-30"/>
      </w:pPr>
      <w:bookmarkStart w:id="9" w:name="theoretical_model_and_proposed_st_a9520b"/>
      <w:r>
        <w:rPr>
          <w:rFonts w:eastAsia="Georgia" w:hAnsi="Georgia" w:cs="Georgia"/>
          <w:b/>
          <w:color w:val="000000"/>
          <w:sz w:val="24"/>
        </w:rPr>
        <w:t>Theoretical Model and Proposed Study Design</w:t>
      </w:r>
      <w:bookmarkEnd w:id="9"/>
    </w:p>
    <w:p w14:paraId="22B1F5A8" w14:textId="77777777" w:rsidR="00272541" w:rsidRDefault="00000000">
      <w:pPr>
        <w:spacing w:after="210" w:line="360" w:lineRule="auto"/>
      </w:pPr>
      <w:r>
        <w:rPr>
          <w:rFonts w:eastAsia="Georgia" w:hAnsi="Georgia" w:cs="Georgia"/>
          <w:color w:val="000000"/>
        </w:rPr>
        <w:t xml:space="preserve">Drawing on these five streams, the proposed study tests a vignette experiment in which participants are randomly assigned to view a business communication about a product price increase under one of three </w:t>
      </w:r>
      <w:proofErr w:type="gramStart"/>
      <w:r>
        <w:rPr>
          <w:rFonts w:eastAsia="Georgia" w:hAnsi="Georgia" w:cs="Georgia"/>
          <w:color w:val="000000"/>
        </w:rPr>
        <w:t>message</w:t>
      </w:r>
      <w:proofErr w:type="gramEnd"/>
      <w:r>
        <w:rPr>
          <w:rFonts w:eastAsia="Georgia" w:hAnsi="Georgia" w:cs="Georgia"/>
          <w:color w:val="000000"/>
        </w:rPr>
        <w:t xml:space="preserve"> conditions: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46"/>
        <w:gridCol w:w="2184"/>
        <w:gridCol w:w="871"/>
        <w:gridCol w:w="3590"/>
      </w:tblGrid>
      <w:tr w:rsidR="00272541" w14:paraId="26DADB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29E6AE" w14:textId="77777777" w:rsidR="00272541" w:rsidRDefault="00000000">
            <w:pPr>
              <w:spacing w:line="360" w:lineRule="auto"/>
            </w:pPr>
            <w:r>
              <w:rPr>
                <w:rFonts w:ascii="helvetica neue" w:eastAsia="helvetica neue" w:hAnsi="helvetica neue" w:cs="helvetica neue"/>
                <w:color w:val="000000"/>
                <w:sz w:val="17"/>
              </w:rPr>
              <w:t>Condition</w:t>
            </w:r>
          </w:p>
        </w:tc>
        <w:tc>
          <w:tcPr>
            <w:tcW w:w="0" w:type="auto"/>
            <w:tcBorders>
              <w:top w:val="single" w:sz="1" w:space="0" w:color="000000"/>
              <w:bottom w:val="single" w:sz="1" w:space="0" w:color="000000"/>
              <w:right w:val="single" w:sz="1" w:space="0" w:color="000000"/>
            </w:tcBorders>
          </w:tcPr>
          <w:p w14:paraId="028360FB" w14:textId="77777777" w:rsidR="00272541" w:rsidRDefault="00000000">
            <w:pPr>
              <w:spacing w:line="360" w:lineRule="auto"/>
            </w:pPr>
            <w:r>
              <w:rPr>
                <w:rFonts w:ascii="helvetica neue" w:eastAsia="helvetica neue" w:hAnsi="helvetica neue" w:cs="helvetica neue"/>
                <w:color w:val="000000"/>
                <w:sz w:val="17"/>
              </w:rPr>
              <w:t>Message Type</w:t>
            </w:r>
          </w:p>
        </w:tc>
        <w:tc>
          <w:tcPr>
            <w:tcW w:w="0" w:type="auto"/>
            <w:tcBorders>
              <w:top w:val="single" w:sz="1" w:space="0" w:color="000000"/>
              <w:bottom w:val="single" w:sz="1" w:space="0" w:color="000000"/>
              <w:right w:val="single" w:sz="1" w:space="0" w:color="000000"/>
            </w:tcBorders>
          </w:tcPr>
          <w:p w14:paraId="052C2067" w14:textId="77777777" w:rsidR="00272541" w:rsidRDefault="00000000">
            <w:pPr>
              <w:spacing w:line="360" w:lineRule="auto"/>
            </w:pPr>
            <w:r>
              <w:rPr>
                <w:rFonts w:ascii="helvetica neue" w:eastAsia="helvetica neue" w:hAnsi="helvetica neue" w:cs="helvetica neue"/>
                <w:color w:val="000000"/>
                <w:sz w:val="17"/>
              </w:rPr>
              <w:t>Frame</w:t>
            </w:r>
          </w:p>
        </w:tc>
        <w:tc>
          <w:tcPr>
            <w:tcW w:w="0" w:type="auto"/>
            <w:tcBorders>
              <w:top w:val="single" w:sz="1" w:space="0" w:color="000000"/>
              <w:bottom w:val="single" w:sz="1" w:space="0" w:color="000000"/>
            </w:tcBorders>
          </w:tcPr>
          <w:p w14:paraId="08E3D123" w14:textId="77777777" w:rsidR="00272541" w:rsidRDefault="00000000">
            <w:pPr>
              <w:spacing w:line="360" w:lineRule="auto"/>
            </w:pPr>
            <w:r>
              <w:rPr>
                <w:rFonts w:ascii="helvetica neue" w:eastAsia="helvetica neue" w:hAnsi="helvetica neue" w:cs="helvetica neue"/>
                <w:color w:val="000000"/>
                <w:sz w:val="17"/>
              </w:rPr>
              <w:t>Attribution</w:t>
            </w:r>
          </w:p>
        </w:tc>
      </w:tr>
      <w:tr w:rsidR="00272541" w14:paraId="28CC9B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1B5737" w14:textId="77777777" w:rsidR="00272541"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74EDA7CD" w14:textId="77777777" w:rsidR="00272541" w:rsidRDefault="00000000">
            <w:pPr>
              <w:spacing w:line="360" w:lineRule="auto"/>
            </w:pPr>
            <w:r>
              <w:rPr>
                <w:rFonts w:ascii="helvetica neue" w:eastAsia="helvetica neue" w:hAnsi="helvetica neue" w:cs="helvetica neue"/>
                <w:color w:val="000000"/>
                <w:sz w:val="17"/>
              </w:rPr>
              <w:t>Proactive Gain-Framed</w:t>
            </w:r>
          </w:p>
        </w:tc>
        <w:tc>
          <w:tcPr>
            <w:tcW w:w="0" w:type="auto"/>
            <w:tcBorders>
              <w:top w:val="single" w:sz="1" w:space="0" w:color="000000"/>
              <w:bottom w:val="single" w:sz="1" w:space="0" w:color="000000"/>
              <w:right w:val="single" w:sz="1" w:space="0" w:color="000000"/>
            </w:tcBorders>
          </w:tcPr>
          <w:p w14:paraId="5C4B66F8" w14:textId="77777777" w:rsidR="00272541" w:rsidRDefault="00000000">
            <w:pPr>
              <w:spacing w:line="360" w:lineRule="auto"/>
            </w:pPr>
            <w:r>
              <w:rPr>
                <w:rFonts w:ascii="helvetica neue" w:eastAsia="helvetica neue" w:hAnsi="helvetica neue" w:cs="helvetica neue"/>
                <w:color w:val="000000"/>
                <w:sz w:val="17"/>
              </w:rPr>
              <w:t>Gain</w:t>
            </w:r>
          </w:p>
        </w:tc>
        <w:tc>
          <w:tcPr>
            <w:tcW w:w="0" w:type="auto"/>
            <w:tcBorders>
              <w:top w:val="single" w:sz="1" w:space="0" w:color="000000"/>
              <w:bottom w:val="single" w:sz="1" w:space="0" w:color="000000"/>
            </w:tcBorders>
          </w:tcPr>
          <w:p w14:paraId="53BA2FE7" w14:textId="77777777" w:rsidR="00272541" w:rsidRDefault="00000000">
            <w:pPr>
              <w:spacing w:line="360" w:lineRule="auto"/>
            </w:pPr>
            <w:r>
              <w:rPr>
                <w:rFonts w:ascii="helvetica neue" w:eastAsia="helvetica neue" w:hAnsi="helvetica neue" w:cs="helvetica neue"/>
                <w:color w:val="000000"/>
                <w:sz w:val="17"/>
              </w:rPr>
              <w:t>External (tariffs) + mitigation emphasis</w:t>
            </w:r>
          </w:p>
        </w:tc>
      </w:tr>
      <w:tr w:rsidR="00272541" w14:paraId="1D2B16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8088CA" w14:textId="77777777" w:rsidR="00272541"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7A0C9E5F" w14:textId="77777777" w:rsidR="00272541" w:rsidRDefault="00000000">
            <w:pPr>
              <w:spacing w:line="360" w:lineRule="auto"/>
            </w:pPr>
            <w:r>
              <w:rPr>
                <w:rFonts w:ascii="helvetica neue" w:eastAsia="helvetica neue" w:hAnsi="helvetica neue" w:cs="helvetica neue"/>
                <w:color w:val="000000"/>
                <w:sz w:val="17"/>
              </w:rPr>
              <w:t>Reactive Loss-Framed</w:t>
            </w:r>
          </w:p>
        </w:tc>
        <w:tc>
          <w:tcPr>
            <w:tcW w:w="0" w:type="auto"/>
            <w:tcBorders>
              <w:top w:val="single" w:sz="1" w:space="0" w:color="000000"/>
              <w:bottom w:val="single" w:sz="1" w:space="0" w:color="000000"/>
              <w:right w:val="single" w:sz="1" w:space="0" w:color="000000"/>
            </w:tcBorders>
          </w:tcPr>
          <w:p w14:paraId="51249F6B" w14:textId="77777777" w:rsidR="00272541" w:rsidRDefault="00000000">
            <w:pPr>
              <w:spacing w:line="360" w:lineRule="auto"/>
            </w:pPr>
            <w:r>
              <w:rPr>
                <w:rFonts w:ascii="helvetica neue" w:eastAsia="helvetica neue" w:hAnsi="helvetica neue" w:cs="helvetica neue"/>
                <w:color w:val="000000"/>
                <w:sz w:val="17"/>
              </w:rPr>
              <w:t>Loss</w:t>
            </w:r>
          </w:p>
        </w:tc>
        <w:tc>
          <w:tcPr>
            <w:tcW w:w="0" w:type="auto"/>
            <w:tcBorders>
              <w:top w:val="single" w:sz="1" w:space="0" w:color="000000"/>
              <w:bottom w:val="single" w:sz="1" w:space="0" w:color="000000"/>
            </w:tcBorders>
          </w:tcPr>
          <w:p w14:paraId="05049DEC" w14:textId="77777777" w:rsidR="00272541" w:rsidRDefault="00000000">
            <w:pPr>
              <w:spacing w:line="360" w:lineRule="auto"/>
            </w:pPr>
            <w:r>
              <w:rPr>
                <w:rFonts w:ascii="helvetica neue" w:eastAsia="helvetica neue" w:hAnsi="helvetica neue" w:cs="helvetica neue"/>
                <w:color w:val="000000"/>
                <w:sz w:val="17"/>
              </w:rPr>
              <w:t>External (tariffs) + consequences emphasis</w:t>
            </w:r>
          </w:p>
        </w:tc>
      </w:tr>
      <w:tr w:rsidR="00272541" w14:paraId="0F0B06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010225" w14:textId="77777777" w:rsidR="00272541"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56BC1311" w14:textId="77777777" w:rsidR="00272541" w:rsidRDefault="00000000">
            <w:pPr>
              <w:spacing w:line="360" w:lineRule="auto"/>
            </w:pPr>
            <w:r>
              <w:rPr>
                <w:rFonts w:ascii="helvetica neue" w:eastAsia="helvetica neue" w:hAnsi="helvetica neue" w:cs="helvetica neue"/>
                <w:color w:val="000000"/>
                <w:sz w:val="17"/>
              </w:rPr>
              <w:t>No Explanation (Control)</w:t>
            </w:r>
          </w:p>
        </w:tc>
        <w:tc>
          <w:tcPr>
            <w:tcW w:w="0" w:type="auto"/>
            <w:tcBorders>
              <w:top w:val="single" w:sz="1" w:space="0" w:color="000000"/>
              <w:bottom w:val="single" w:sz="1" w:space="0" w:color="000000"/>
              <w:right w:val="single" w:sz="1" w:space="0" w:color="000000"/>
            </w:tcBorders>
          </w:tcPr>
          <w:p w14:paraId="083453E9" w14:textId="77777777" w:rsidR="00272541" w:rsidRDefault="00000000">
            <w:pPr>
              <w:spacing w:line="360" w:lineRule="auto"/>
            </w:pPr>
            <w:r>
              <w:rPr>
                <w:rFonts w:ascii="helvetica neue" w:eastAsia="helvetica neue" w:hAnsi="helvetica neue" w:cs="helvetica neue"/>
                <w:color w:val="000000"/>
                <w:sz w:val="17"/>
              </w:rPr>
              <w:t>Neutral</w:t>
            </w:r>
          </w:p>
        </w:tc>
        <w:tc>
          <w:tcPr>
            <w:tcW w:w="0" w:type="auto"/>
            <w:tcBorders>
              <w:top w:val="single" w:sz="1" w:space="0" w:color="000000"/>
              <w:bottom w:val="single" w:sz="1" w:space="0" w:color="000000"/>
            </w:tcBorders>
          </w:tcPr>
          <w:p w14:paraId="5A83D83A" w14:textId="77777777" w:rsidR="00272541" w:rsidRDefault="00000000">
            <w:pPr>
              <w:spacing w:line="360" w:lineRule="auto"/>
            </w:pPr>
            <w:r>
              <w:rPr>
                <w:rFonts w:ascii="helvetica neue" w:eastAsia="helvetica neue" w:hAnsi="helvetica neue" w:cs="helvetica neue"/>
                <w:color w:val="000000"/>
                <w:sz w:val="17"/>
              </w:rPr>
              <w:t>None</w:t>
            </w:r>
          </w:p>
        </w:tc>
      </w:tr>
    </w:tbl>
    <w:p w14:paraId="3516AF55" w14:textId="77777777" w:rsidR="00272541" w:rsidRDefault="00272541"/>
    <w:p w14:paraId="425130E9" w14:textId="77777777" w:rsidR="00272541" w:rsidRDefault="00000000">
      <w:pPr>
        <w:spacing w:after="210" w:line="360" w:lineRule="auto"/>
      </w:pPr>
      <w:r>
        <w:rPr>
          <w:rFonts w:eastAsia="Georgia" w:hAnsi="Georgia" w:cs="Georgia"/>
          <w:b/>
          <w:color w:val="000000"/>
        </w:rPr>
        <w:t>Proposed dependent variables:</w:t>
      </w:r>
      <w:r>
        <w:rPr>
          <w:rFonts w:eastAsia="Georgia" w:hAnsi="Georgia" w:cs="Georgia"/>
          <w:color w:val="000000"/>
        </w:rPr>
        <w:t xml:space="preserve"> perceived price fairness, psychological reactance (anger + negative cognition), brand trust, brand attitude, purchase intention, negative WOM intention.</w:t>
      </w:r>
    </w:p>
    <w:p w14:paraId="3FCE3D1A" w14:textId="77777777" w:rsidR="00272541" w:rsidRDefault="00000000">
      <w:pPr>
        <w:spacing w:after="210" w:line="360" w:lineRule="auto"/>
      </w:pPr>
      <w:r>
        <w:rPr>
          <w:rFonts w:eastAsia="Georgia" w:hAnsi="Georgia" w:cs="Georgia"/>
          <w:b/>
          <w:color w:val="000000"/>
        </w:rPr>
        <w:t>Proposed mediators:</w:t>
      </w:r>
      <w:r>
        <w:rPr>
          <w:rFonts w:eastAsia="Georgia" w:hAnsi="Georgia" w:cs="Georgia"/>
          <w:color w:val="000000"/>
        </w:rPr>
        <w:t xml:space="preserve"> perceived price fairness, psychological reactance.</w:t>
      </w:r>
    </w:p>
    <w:p w14:paraId="660ADBD8" w14:textId="77777777" w:rsidR="00272541" w:rsidRDefault="00000000">
      <w:pPr>
        <w:spacing w:after="210" w:line="360" w:lineRule="auto"/>
      </w:pPr>
      <w:r>
        <w:rPr>
          <w:rFonts w:eastAsia="Georgia" w:hAnsi="Georgia" w:cs="Georgia"/>
          <w:b/>
          <w:color w:val="000000"/>
        </w:rPr>
        <w:t>Proposed moderator:</w:t>
      </w:r>
      <w:r>
        <w:rPr>
          <w:rFonts w:eastAsia="Georgia" w:hAnsi="Georgia" w:cs="Georgia"/>
          <w:color w:val="000000"/>
        </w:rPr>
        <w:t xml:space="preserve"> consumer political orientation toward tariff policy (pro vs. anti-tariff), measured prior to stimulus exposure.</w:t>
      </w:r>
    </w:p>
    <w:p w14:paraId="49A0DFA9" w14:textId="77777777" w:rsidR="00272541" w:rsidRDefault="00000000">
      <w:pPr>
        <w:spacing w:after="210" w:line="360" w:lineRule="auto"/>
      </w:pPr>
      <w:r>
        <w:rPr>
          <w:rFonts w:eastAsia="Georgia" w:hAnsi="Georgia" w:cs="Georgia"/>
          <w:color w:val="000000"/>
        </w:rPr>
        <w:lastRenderedPageBreak/>
        <w:t>The overarching theoretical model follows the S-O-R framework: message type (S) → fairness perceptions and reactance (O) → brand attitudes, purchase intentions, negative WOM (R), moderated by political orientation. This model integrates dual entitlement theory (fairness mechanism), psychological reactance theory (threat-to-freedom mechanism), and message framing theory (framing → organism mechanism).</w:t>
      </w:r>
    </w:p>
    <w:p w14:paraId="3BB12957" w14:textId="77777777" w:rsidR="00272541" w:rsidRDefault="00000000">
      <w:pPr>
        <w:spacing w:before="210" w:after="0" w:line="360" w:lineRule="auto"/>
      </w:pPr>
      <w:r>
        <w:rPr>
          <w:noProof/>
        </w:rPr>
      </w:r>
      <w:r>
        <w:rPr>
          <w:noProof/>
        </w:rPr>
        <w:pict w14:anchorId="3C714932">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68BCB5F" w14:textId="77777777" w:rsidR="00272541" w:rsidRDefault="00000000">
      <w:pPr>
        <w:spacing w:before="315" w:after="105" w:line="360" w:lineRule="auto"/>
        <w:ind w:left="-30"/>
      </w:pPr>
      <w:bookmarkStart w:id="10" w:name="contribution_to_the_special_issue"/>
      <w:r>
        <w:rPr>
          <w:rFonts w:eastAsia="Georgia" w:hAnsi="Georgia" w:cs="Georgia"/>
          <w:b/>
          <w:color w:val="000000"/>
          <w:sz w:val="24"/>
        </w:rPr>
        <w:t>Contribution to the Special Issue</w:t>
      </w:r>
      <w:bookmarkEnd w:id="10"/>
    </w:p>
    <w:p w14:paraId="0C05AA0C" w14:textId="77777777" w:rsidR="00272541" w:rsidRDefault="00000000">
      <w:pPr>
        <w:spacing w:after="210" w:line="360" w:lineRule="auto"/>
      </w:pPr>
      <w:r>
        <w:rPr>
          <w:rFonts w:eastAsia="Georgia" w:hAnsi="Georgia" w:cs="Georgia"/>
          <w:color w:val="000000"/>
        </w:rPr>
        <w:t xml:space="preserve">This proposed study directly addresses the </w:t>
      </w:r>
      <w:r>
        <w:rPr>
          <w:rFonts w:eastAsia="Georgia" w:hAnsi="Georgia" w:cs="Georgia"/>
          <w:i/>
          <w:color w:val="000000"/>
        </w:rPr>
        <w:t>JCM</w:t>
      </w:r>
      <w:r>
        <w:rPr>
          <w:rFonts w:eastAsia="Georgia" w:hAnsi="Georgia" w:cs="Georgia"/>
          <w:color w:val="000000"/>
        </w:rPr>
        <w:t xml:space="preserve"> special issue </w:t>
      </w:r>
      <w:proofErr w:type="gramStart"/>
      <w:r>
        <w:rPr>
          <w:rFonts w:eastAsia="Georgia" w:hAnsi="Georgia" w:cs="Georgia"/>
          <w:color w:val="000000"/>
        </w:rPr>
        <w:t>theme — "</w:t>
      </w:r>
      <w:proofErr w:type="gramEnd"/>
      <w:r>
        <w:rPr>
          <w:rFonts w:eastAsia="Georgia" w:hAnsi="Georgia" w:cs="Georgia"/>
          <w:color w:val="000000"/>
        </w:rPr>
        <w:t xml:space="preserve">Crafting Shape in a Fluid World: The Intersection of Marketing and External </w:t>
      </w:r>
      <w:proofErr w:type="gramStart"/>
      <w:r>
        <w:rPr>
          <w:rFonts w:eastAsia="Georgia" w:hAnsi="Georgia" w:cs="Georgia"/>
          <w:color w:val="000000"/>
        </w:rPr>
        <w:t>Forces" —</w:t>
      </w:r>
      <w:proofErr w:type="gramEnd"/>
      <w:r>
        <w:rPr>
          <w:rFonts w:eastAsia="Georgia" w:hAnsi="Georgia" w:cs="Georgia"/>
          <w:color w:val="000000"/>
        </w:rPr>
        <w:t xml:space="preserve"> by examining how firms can strategically navigate consumer responses to geopolitical disruptions. It responds explicitly to the call for research on "consumer responses to global disruptions (e.g., tariffs)" and "marketing strategies for enhancing trust, loyalty, and engagement in uncertain environments." The experimental methodology offers the causal inference that survey and observational work cannot provide, producing actionable, theory-grounded insights for practitioners navigating one of the most consequential external forces in contemporary marketing.</w:t>
      </w:r>
    </w:p>
    <w:p w14:paraId="50593A1E" w14:textId="77777777" w:rsidR="00272541" w:rsidRDefault="00000000">
      <w:pPr>
        <w:spacing w:after="210" w:line="360" w:lineRule="auto"/>
      </w:pPr>
      <w:r>
        <w:rPr>
          <w:rFonts w:eastAsia="Georgia" w:hAnsi="Georgia" w:cs="Georgia"/>
          <w:color w:val="000000"/>
        </w:rPr>
        <w:t>The study also contributes to theory by (1) extending the message framing → reactance pathway into a novel geopolitical context; (2) integrating dual entitlement and reactance as parallel mediating mechanisms; and (3) documenting political orientation as a boundary condition on corporate crisis communication effectiveness — a moderator largely absent from prior message framing literature but highly relevant in a politically polarized environment.</w:t>
      </w:r>
    </w:p>
    <w:sectPr w:rsidR="0027254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3MTS0MDMwsbQ0MjNV0lEKTi0uzszPAykwrAUA7xpHliwAAAA="/>
  </w:docVars>
  <w:rsids>
    <w:rsidRoot w:val="00272541"/>
    <w:rsid w:val="00272541"/>
    <w:rsid w:val="00A22A87"/>
    <w:rsid w:val="00D94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616C6C6"/>
  <w15:docId w15:val="{FC6A28A4-DC30-43DC-81F5-D3F30B609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emerald.com/ejm/article/58/11/2473-2507/1215460" TargetMode="External"/><Relationship Id="rId18" Type="http://schemas.openxmlformats.org/officeDocument/2006/relationships/hyperlink" Target="https://arxiv.org/ftp/arxiv/papers/2403/2403.07617.pdf" TargetMode="External"/><Relationship Id="rId26" Type="http://schemas.openxmlformats.org/officeDocument/2006/relationships/hyperlink" Target="http://link.springer.com/10.1007/s10551-017-3706-0" TargetMode="External"/><Relationship Id="rId3" Type="http://schemas.openxmlformats.org/officeDocument/2006/relationships/webSettings" Target="webSettings.xml"/><Relationship Id="rId21" Type="http://schemas.openxmlformats.org/officeDocument/2006/relationships/hyperlink" Target="https://www.grantthornton.com/insights/articles/tax/2025/new-tariff-paradigm-how-businesses-can-respond" TargetMode="External"/><Relationship Id="rId7" Type="http://schemas.openxmlformats.org/officeDocument/2006/relationships/hyperlink" Target="https://pro.morningconsult.com/analysis/tariff-communication-brands-research-2025" TargetMode="External"/><Relationship Id="rId12" Type="http://schemas.openxmlformats.org/officeDocument/2006/relationships/hyperlink" Target="https://www.tandfonline.com/doi/full/10.1080/01292986.2023.2179088" TargetMode="External"/><Relationship Id="rId17" Type="http://schemas.openxmlformats.org/officeDocument/2006/relationships/hyperlink" Target="http://link.springer.com/10.1007/s11301-020-00180-y" TargetMode="External"/><Relationship Id="rId25" Type="http://schemas.openxmlformats.org/officeDocument/2006/relationships/hyperlink" Target="http://www.emerald.com/jrim/article/19/5/840-860/1254102"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pmc.ncbi.nlm.nih.gov/articles/PMC4117640/" TargetMode="External"/><Relationship Id="rId20" Type="http://schemas.openxmlformats.org/officeDocument/2006/relationships/hyperlink" Target="https://journals.sagepub.com/doi/pdf/10.1177/21582440241228699" TargetMode="External"/><Relationship Id="rId29" Type="http://schemas.openxmlformats.org/officeDocument/2006/relationships/hyperlink" Target="https://www.emarketer.com/content/tariffs-will-shape-consumer-behavior-long-after-policy-shifts-fade" TargetMode="External"/><Relationship Id="rId1" Type="http://schemas.openxmlformats.org/officeDocument/2006/relationships/styles" Target="styles.xml"/><Relationship Id="rId6" Type="http://schemas.openxmlformats.org/officeDocument/2006/relationships/hyperlink" Target="https://www.usertesting.com/resources/reports/tariffs-brand-trust-consumer-loyalty" TargetMode="External"/><Relationship Id="rId11" Type="http://schemas.openxmlformats.org/officeDocument/2006/relationships/hyperlink" Target="https://www.tandfonline.com/doi/pdf/10.1080/19368623.2022.2065399?needAccess=true" TargetMode="External"/><Relationship Id="rId24" Type="http://schemas.openxmlformats.org/officeDocument/2006/relationships/hyperlink" Target="https://onlinelibrary.wiley.com/doi/10.1111/ijcs.12982" TargetMode="External"/><Relationship Id="rId32" Type="http://schemas.openxmlformats.org/officeDocument/2006/relationships/fontTable" Target="fontTable.xml"/><Relationship Id="rId5" Type="http://schemas.openxmlformats.org/officeDocument/2006/relationships/hyperlink" Target="https://www.bostonfed.org/publications/current-policy-perspectives/2025/who-pays-for-tariffs.aspx" TargetMode="External"/><Relationship Id="rId15" Type="http://schemas.openxmlformats.org/officeDocument/2006/relationships/hyperlink" Target="http://www.emerald.com/jcm/article/42/1/24-37/1241912" TargetMode="External"/><Relationship Id="rId23" Type="http://schemas.openxmlformats.org/officeDocument/2006/relationships/hyperlink" Target="https://journals.sagepub.com/doi/pdf/10.1177/10946705231190871" TargetMode="External"/><Relationship Id="rId28" Type="http://schemas.openxmlformats.org/officeDocument/2006/relationships/hyperlink" Target="https://www.usertesting.com/resources/reports/tariffs-brand-trust-consumer-loyalty" TargetMode="External"/><Relationship Id="rId10" Type="http://schemas.openxmlformats.org/officeDocument/2006/relationships/hyperlink" Target="https://marketingmanagementjournal.scholasticahq.com/article/154848-gain-vs-loss-framing-in-rational-and-emotional-appeals-effects-on-consumer-attitudes-reactance-and-brand-choice" TargetMode="External"/><Relationship Id="rId19" Type="http://schemas.openxmlformats.org/officeDocument/2006/relationships/hyperlink" Target="https://pmc.ncbi.nlm.nih.gov/articles/PMC8013284/" TargetMode="External"/><Relationship Id="rId31" Type="http://schemas.openxmlformats.org/officeDocument/2006/relationships/hyperlink" Target="https://journals.sagepub.com/doi/10.1177/00222429261440794" TargetMode="External"/><Relationship Id="rId4" Type="http://schemas.openxmlformats.org/officeDocument/2006/relationships/hyperlink" Target="https://www.hbs.edu/bigs/us-trade-tariffs-increasing-prices" TargetMode="External"/><Relationship Id="rId9" Type="http://schemas.openxmlformats.org/officeDocument/2006/relationships/hyperlink" Target="https://www.omniaretail.com/blog/how-tariffs-impact-consumer-behavior" TargetMode="External"/><Relationship Id="rId14" Type="http://schemas.openxmlformats.org/officeDocument/2006/relationships/hyperlink" Target="https://pmc.ncbi.nlm.nih.gov/articles/PMC4675534/" TargetMode="External"/><Relationship Id="rId22" Type="http://schemas.openxmlformats.org/officeDocument/2006/relationships/hyperlink" Target="http://www.emerald.com/ejm/article/58/11/2473-2507/1215460" TargetMode="External"/><Relationship Id="rId27" Type="http://schemas.openxmlformats.org/officeDocument/2006/relationships/hyperlink" Target="https://fleishmanhillard.com/2025/08/tariff-communications/" TargetMode="External"/><Relationship Id="rId30" Type="http://schemas.openxmlformats.org/officeDocument/2006/relationships/hyperlink" Target="https://linkinghub.elsevier.com/retrieve/pii/S0195666324000837" TargetMode="External"/><Relationship Id="rId8" Type="http://schemas.openxmlformats.org/officeDocument/2006/relationships/hyperlink" Target="https://fleishmanhillard.com/2025/08/tariff-commun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3423</Words>
  <Characters>19513</Characters>
  <Application>Microsoft Office Word</Application>
  <DocSecurity>0</DocSecurity>
  <Lines>162</Lines>
  <Paragraphs>45</Paragraphs>
  <ScaleCrop>false</ScaleCrop>
  <Company/>
  <LinksUpToDate>false</LinksUpToDate>
  <CharactersWithSpaces>22891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Britton Leggett</cp:lastModifiedBy>
  <cp:revision>2</cp:revision>
  <dcterms:created xsi:type="dcterms:W3CDTF">2026-05-08T19:13:00Z</dcterms:created>
  <dcterms:modified xsi:type="dcterms:W3CDTF">2026-05-08T19:13:00Z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dc864595-4540-4fb9-9d25-de33c942336c</vt:lpwstr>
  </property>
</Properties>
</file>