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Tariff Messaging and Consumer Response — Working Manuscript Draft</w:t>
      </w:r>
    </w:p>
    <w:p>
      <w:pPr>
        <w:pStyle w:val="Heading2"/>
      </w:pPr>
      <w:r>
        <w:t>Assembled 2026-09-04 for Britton's weekend writing/editing session</w:t>
      </w:r>
    </w:p>
    <w:p>
      <w:r>
        <w:rPr>
          <w:b/>
        </w:rPr>
        <w:t>What this file is:</w:t>
      </w:r>
      <w:r>
        <w:t xml:space="preserve"> everything currently "manuscript-ready" pulled into one document, in reading order, so you can work top to bottom instead of jumping between files. Nothing new was written here — this is assembly of already-drafted, already-reviewed material, plus one genuinely new piece (the Measures subsection below, written in prose for the first time from the already-resolved scale citations in </w:t>
      </w:r>
      <w:r>
        <w:rPr>
          <w:rFonts w:ascii="Consolas" w:hAnsi="Consolas"/>
          <w:sz w:val="20"/>
        </w:rPr>
        <w:t>notes/2026-08-04-full- instrument-assembly.md</w:t>
      </w:r>
      <w:r>
        <w:t xml:space="preserve">). Source files, unchanged and still the working copies if you'd rather edit there instead: </w:t>
      </w:r>
      <w:r>
        <w:rPr>
          <w:rFonts w:ascii="Consolas" w:hAnsi="Consolas"/>
          <w:sz w:val="20"/>
        </w:rPr>
        <w:t>Introduction_and_Theory_DRAFT_2026-08-12.md</w:t>
      </w:r>
      <w:r>
        <w:t xml:space="preserve"> and </w:t>
      </w:r>
      <w:r>
        <w:rPr>
          <w:rFonts w:ascii="Consolas" w:hAnsi="Consolas"/>
          <w:sz w:val="20"/>
        </w:rPr>
        <w:t>Study1_Methods_Section_DRAFT_2026-09-04_CONSOLIDATED.md</w:t>
      </w:r>
      <w:r>
        <w:t>.</w:t>
      </w:r>
    </w:p>
    <w:p>
      <w:r>
        <w:rPr>
          <w:b/>
        </w:rPr>
        <w:t>Update 2026-09-04, Phase 3 finalized by Britton:</w:t>
      </w:r>
      <w:r>
        <w:t xml:space="preserve"> after reviewing the decision sheet independently, Britton confirmed 3 of Claude's 4 proposed resolutions and overrode the fourth — declining to elevate Home Depot's single-artifact </w:t>
      </w:r>
      <w:r>
        <w:rPr>
          <w:rFonts w:ascii="Consolas" w:hAnsi="Consolas"/>
          <w:sz w:val="20"/>
        </w:rPr>
        <w:t>reversal-narrative</w:t>
      </w:r>
      <w:r>
        <w:t xml:space="preserve"> code to a seventh theme, on the grounds that a single case doesn't support a new theme, and reporting it as a deviant case instead. </w:t>
      </w:r>
      <w:r>
        <w:rPr>
          <w:b/>
        </w:rPr>
        <w:t>Final: six themes, not seven.</w:t>
      </w:r>
      <w:r>
        <w:t xml:space="preserve"> Full record of the decisions and reasoning: </w:t>
      </w:r>
      <w:r>
        <w:rPr>
          <w:rFonts w:ascii="Consolas" w:hAnsi="Consolas"/>
          <w:sz w:val="20"/>
        </w:rPr>
        <w:t>Study1_Phase3_Quick_Decisions_2026-09-04.md</w:t>
      </w:r>
      <w:r>
        <w:t>. The Coding Procedure, Results, and AI-Use Disclosure sections below reflect this final state. H3 remains open — Britton hasn't yet confirmed a direction independently.</w:t>
      </w:r>
    </w:p>
    <w:p>
      <w:r>
        <w:t>Everything else below is either done or waiting on data that doesn't exist yet (Study 2/3 empirical results — correctly not written, per the project's own rule against writing results before real data exists).</w:t>
      </w:r>
    </w:p>
    <w:p>
      <w:pPr>
        <w:jc w:val="center"/>
      </w:pPr>
      <w:r>
        <w:t>————————————————————————————————————————</w:t>
      </w:r>
    </w:p>
    <w:p>
      <w:pPr>
        <w:pStyle w:val="Heading1"/>
      </w:pPr>
      <w:r>
        <w:t>Introduction</w:t>
      </w:r>
    </w:p>
    <w:p>
      <w:r>
        <w:t xml:space="preserve">In 2026, tariff-driven price increases moved from a macroeconomic abstraction to a line item on the receipt. A KPMG survey of executives that year found 55% planning further price increases within six months, and — more tellingly — the share of firms passing more than half of tariff-related costs directly to consumers roughly doubled year over year, from 13% to 34%. Firms as varied as Nike, Mattel, BMW, and Williams- Sonoma have all publicly attributed price increases to tariffs within the same calendar year, using markedly different language to do it: Nike's "surgical price increase," paired with a visible sourcing-shift narrative; BMW's routine-sounding dealer bulletin that avoids the word "tariff" entirely; Chipotle's public promise to absorb the cost rather than pass it on. This variation is not noise. It is a natural experiment in corporate framing that consumers are exposed to, evaluate, and respond to — and it raises a question with real theoretical and managerial stakes: </w:t>
      </w:r>
      <w:r>
        <w:rPr>
          <w:b/>
        </w:rPr>
        <w:t>does how a firm explains a tariff-driven price increase change how fairly consumers judge it, independent of the price increase itself?</w:t>
      </w:r>
    </w:p>
    <w:p>
      <w:r>
        <w:t>This paper addresses that question in two studies. Study 1 inductively derives a typology of real corporate tariff-messaging strategies from a corpus of public disclosures, identifying causation attribution — whether firms explicitly name tariffs as the cause, offer a vaguer justification, or say nothing at all — as the messaging dimension with the clearest theoretical stakes and the most real-world variation. Study 2 experimentally manipulates that dimension, crossed with whether the firm frames itself as passing the full cost through or absorbing part of it, in a 3×2 between-subjects design, and traces its downstream consequences through perceived fairness and opportunism to trust and behavioral intentions.</w:t>
      </w:r>
    </w:p>
    <w:p>
      <w:r>
        <w:t xml:space="preserve">The contribution is threefold. First, we extend dual entitlement theory (Kahneman, Knetsch, &amp; Thaler, 1986) — developed to explain fairness judgments about price increases in general — to the specific, increasingly common case of tariff-attributed increases, where the "external shock" firms invoke as justification is itself politically contested and unevenly understood by consumers. Second, we ground the experimental stimuli in an inductively derived typology of </w:t>
      </w:r>
      <w:r>
        <w:rPr>
          <w:i/>
        </w:rPr>
        <w:t>actual</w:t>
      </w:r>
      <w:r>
        <w:t xml:space="preserve"> firm messaging (Study 1) rather than researcher-generated hypotheticals, addressing a common critique of vignette-based pricing research — that manipulated scenarios don't reflect how firms actually communicate. Third, we respond directly to this special issue's interest in marketing's response to external, non-market forces by treating tariff policy not as background economic context but as a communication problem with measurable consequences for trust and purchase behavior.</w:t>
      </w:r>
    </w:p>
    <w:p>
      <w:pPr>
        <w:pStyle w:val="Heading1"/>
      </w:pPr>
      <w:r>
        <w:t>Theoretical Background and Hypothesis Development</w:t>
      </w:r>
    </w:p>
    <w:p>
      <w:pPr>
        <w:pStyle w:val="Heading2"/>
      </w:pPr>
      <w:r>
        <w:t>Dual Entitlement and the Attribution of Cost</w:t>
      </w:r>
    </w:p>
    <w:p>
      <w:r>
        <w:t xml:space="preserve">Dual entitlement theory (Kahneman et al., 1986) holds that consumers judge a firm entitled to pass through cost increases it did not cause, but not entitled to raise prices simply because it can. The theory's central mechanism is </w:t>
      </w:r>
      <w:r>
        <w:rPr>
          <w:i/>
        </w:rPr>
        <w:t>attribution</w:t>
      </w:r>
      <w:r>
        <w:t>: the same price increase is judged differently depending on whether it is understood as a cost pass-through or a profit grab. Tariffs offer a theoretically interesting test case precisely because the "external shock" is not a neutral, undisputed fact the way a raw-material price spike might be — it is a policy outcome that consumers may attribute to the firm's own strategic choices (where to source, whether to lobby against it) as much as to circumstances beyond the firm's control. This makes the firm's own framing of causation unusually consequential: absent a clear attribution cue, consumers must infer intent, and inference is where perceived opportunism creeps in (Campbell, 1999).</w:t>
      </w:r>
    </w:p>
    <w:p>
      <w:r>
        <w:t>Study 1's corpus illustrates the range of attribution strategies firms actually use, from Williams-Sonoma's explicit, section-number-citing transparency ("Section 232," "Section 301") to BMW's dealer bulletin that frames a price increase as routine business ("in line with past pricing communications") without naming a cause at all. We predict that explicit attribution increases perceived fairness and decreases perceived opportunism relative to vague or absent attribution, because it supplies the causal information dual entitlement theory identifies as the basis for a fairness judgment in the first place:</w:t>
      </w:r>
    </w:p>
    <w:p>
      <w:pPr>
        <w:spacing w:after="120"/>
        <w:ind w:left="576"/>
      </w:pPr>
      <w:r>
        <w:rPr>
          <w:b/>
        </w:rPr>
        <w:t>H1a.</w:t>
      </w:r>
      <w:r>
        <w:t xml:space="preserve"> Explicit tariff attribution leads to higher perceived price fairness than</w:t>
      </w:r>
      <w:r>
        <w:br/>
      </w:r>
      <w:r>
        <w:t>vague or silent attribution.</w:t>
      </w:r>
      <w:r>
        <w:br/>
      </w:r>
      <w:r>
        <w:rPr>
          <w:b/>
        </w:rPr>
        <w:t>H1b.</w:t>
      </w:r>
      <w:r>
        <w:t xml:space="preserve"> Explicit tariff attribution leads to lower perceived opportunism than vague</w:t>
      </w:r>
      <w:r>
        <w:br/>
      </w:r>
      <w:r>
        <w:t>or silent attribution.</w:t>
      </w:r>
    </w:p>
    <w:p>
      <w:pPr>
        <w:pStyle w:val="Heading2"/>
      </w:pPr>
      <w:r>
        <w:t>Psychological Reactance and the Cost of Silence</w:t>
      </w:r>
    </w:p>
    <w:p>
      <w:r>
        <w:t xml:space="preserve">Where dual entitlement explains </w:t>
      </w:r>
      <w:r>
        <w:rPr>
          <w:i/>
        </w:rPr>
        <w:t>why</w:t>
      </w:r>
      <w:r>
        <w:t xml:space="preserve"> attribution matters, psychological reactance theory (Brehm, 1966) explains why its absence is not merely uninformative but actively counterproductive. A price increase presented without explanation removes the consumer's ability to evaluate whether it is justified, which reactance theory predicts will be experienced as a constraint on the consumer's freedom to make an informed choice — provoking resistance disproportionate to the economic magnitude of the increase itself. This motivates treating silence not as a neutral baseline but as the condition most likely to provoke the sharpest fairness penalty, consistent with Study 1's finding that BMW's silent-attribution artifact was also its most routine-normalizing one — a combination that, per reactance logic, may minimize apparent imposition in the moment while still measuring worse on trust downstream because consumers were denied the information to judge for themselves.</w:t>
      </w:r>
    </w:p>
    <w:p>
      <w:pPr>
        <w:pStyle w:val="Heading2"/>
      </w:pPr>
      <w:r>
        <w:t>Cost-Response and the Signal of Restraint</w:t>
      </w:r>
    </w:p>
    <w:p>
      <w:r>
        <w:t>The second manipulated factor — whether the firm frames the price increase as a full pass-through or a shared-burden absorption of part of the cost — maps onto dual entitlement's other core prediction: firms that visibly absorb part of a cost increase signal restraint, and restraint is itself evidence against an opportunistic motive. Study 1's Theme 1 (restraint signaling) and Theme 3 (mitigation-effort narrative) are both, at root, firms trying to claim this signal — Nike's "surgical" framing, Lovesac's disclosed four-part mitigation strategy that cost the firm over $22 million in absorbed margin. We predict:</w:t>
      </w:r>
    </w:p>
    <w:p>
      <w:pPr>
        <w:spacing w:after="120"/>
        <w:ind w:left="576"/>
      </w:pPr>
      <w:r>
        <w:rPr>
          <w:b/>
        </w:rPr>
        <w:t>H2a.</w:t>
      </w:r>
      <w:r>
        <w:t xml:space="preserve"> Shared-burden cost absorption leads to higher perceived price fairness than</w:t>
      </w:r>
      <w:r>
        <w:br/>
      </w:r>
      <w:r>
        <w:t>full pass-through.</w:t>
      </w:r>
      <w:r>
        <w:br/>
      </w:r>
      <w:r>
        <w:rPr>
          <w:b/>
        </w:rPr>
        <w:t>H2b.</w:t>
      </w:r>
      <w:r>
        <w:t xml:space="preserve"> Shared-burden cost absorption leads to lower perceived opportunism than full</w:t>
      </w:r>
      <w:r>
        <w:br/>
      </w:r>
      <w:r>
        <w:t>pass-through.</w:t>
      </w:r>
    </w:p>
    <w:p>
      <w:pPr>
        <w:pStyle w:val="Heading2"/>
      </w:pPr>
      <w:r>
        <w:t>The Interaction: Attribution and Response Together</w:t>
      </w:r>
    </w:p>
    <w:p>
      <w:r>
        <w:t xml:space="preserve">Dual entitlement theory implies these two factors should not simply add — a firm that explains its reasoning </w:t>
      </w:r>
      <w:r>
        <w:rPr>
          <w:i/>
        </w:rPr>
        <w:t>and</w:t>
      </w:r>
      <w:r>
        <w:t xml:space="preserve"> visibly shares the burden should be judged disproportionately more fairly than either cue alone would predict, because together they supply both halves of what the theory says a fair pass-through requires: a legitimate cause, and evidence the firm isn't exploiting it. Conversely, a firm that stays silent about cause </w:t>
      </w:r>
      <w:r>
        <w:rPr>
          <w:i/>
        </w:rPr>
        <w:t>and</w:t>
      </w:r>
      <w:r>
        <w:t xml:space="preserve"> passes the full cost through supplies neither — the condition dual entitlement theory would predict as least defensible, and the condition Study 1's corpus suggests is rarest in practice, perhaps because firms themselves anticipate this penalty.</w:t>
      </w:r>
    </w:p>
    <w:p>
      <w:pPr>
        <w:spacing w:after="120"/>
        <w:ind w:left="576"/>
      </w:pPr>
      <w:r>
        <w:rPr>
          <w:b/>
        </w:rPr>
        <w:t>H3.</w:t>
      </w:r>
      <w:r>
        <w:t xml:space="preserve"> Attribution Frame and Cost-Response interact such that the fairness benefit of</w:t>
      </w:r>
      <w:r>
        <w:br/>
      </w:r>
      <w:r>
        <w:t>explicit attribution is amplified when paired with shared-burden absorption, and</w:t>
      </w:r>
      <w:r>
        <w:br/>
      </w:r>
      <w:r>
        <w:t>attenuated when paired with full pass-through.</w:t>
      </w:r>
    </w:p>
    <w:p>
      <w:r>
        <w:rPr>
          <w:b/>
        </w:rPr>
        <w:t>[OPEN — your call]</w:t>
      </w:r>
      <w:r>
        <w:t xml:space="preserve"> Is this the direction you'd actually predict for H3? See item 2 in the source file's checklist.</w:t>
      </w:r>
    </w:p>
    <w:p>
      <w:pPr>
        <w:pStyle w:val="Heading2"/>
      </w:pPr>
      <w:r>
        <w:t>From Fairness Judgments to Trust and Behavior</w:t>
      </w:r>
    </w:p>
    <w:p>
      <w:r>
        <w:t>The chain from perceived fairness and opportunism to downstream brand outcomes follows an established path in the pricing-fairness literature: fairness judgments and attributed motive both shape trust (Chaudhuri &amp; Holbrook, 2001), and trust in turn predicts the two behavioral intentions most relevant to a firm managing a tariff-driven price increase — whether the consumer still buys, and whether they say anything about it to others.</w:t>
      </w:r>
    </w:p>
    <w:p>
      <w:pPr>
        <w:spacing w:after="120"/>
        <w:ind w:left="576"/>
      </w:pPr>
      <w:r>
        <w:rPr>
          <w:b/>
        </w:rPr>
        <w:t>H4a.</w:t>
      </w:r>
      <w:r>
        <w:t xml:space="preserve"> Perceived price fairness is positively associated with trust in the company.</w:t>
      </w:r>
      <w:r>
        <w:br/>
      </w:r>
      <w:r>
        <w:rPr>
          <w:b/>
        </w:rPr>
        <w:t>H4b.</w:t>
      </w:r>
      <w:r>
        <w:t xml:space="preserve"> Perceived opportunism is negatively associated with trust in the company.</w:t>
      </w:r>
      <w:r>
        <w:br/>
      </w:r>
      <w:r>
        <w:rPr>
          <w:b/>
        </w:rPr>
        <w:t>H5a.</w:t>
      </w:r>
      <w:r>
        <w:t xml:space="preserve"> Trust in the company is positively associated with purchase intention.</w:t>
      </w:r>
      <w:r>
        <w:br/>
      </w:r>
      <w:r>
        <w:rPr>
          <w:b/>
        </w:rPr>
        <w:t>H5b.</w:t>
      </w:r>
      <w:r>
        <w:t xml:space="preserve"> Trust in the company is positively associated with word-of-mouth intention.</w:t>
      </w:r>
    </w:p>
    <w:p>
      <w:pPr>
        <w:jc w:val="center"/>
      </w:pPr>
      <w:r>
        <w:t>————————————————————————————————————————</w:t>
      </w:r>
    </w:p>
    <w:p>
      <w:pPr>
        <w:pStyle w:val="Heading1"/>
      </w:pPr>
      <w:r>
        <w:t>Study 1: Method</w:t>
      </w:r>
    </w:p>
    <w:p>
      <w:pPr>
        <w:pStyle w:val="Heading2"/>
      </w:pPr>
      <w:r>
        <w:t>Purpose and Theoretical Framing</w:t>
      </w:r>
    </w:p>
    <w:p>
      <w:r>
        <w:t>Study 1 addressed an inductive research question — how do firms discursively frame tariff-driven price increases to consumers and investors, and what typology of messaging strategies emerges from actual market practice — with the explicit goal of grounding the experimental stimuli for Study 2 in real-world messaging patterns rather than researcher-generated hypotheticals. The analysis was informed by three theoretical lenses: dual entitlement theory (Kahneman, Knetsch, &amp; Thaler, 1986), which holds that firms are perceived as entitled to pass through unavoidable cost increases but not to raise prices opportunistically; prospect theory's framing effects (Kahneman &amp; Tversky, 1979; Tversky &amp; Kahneman, 1981); and psychological reactance theory (Brehm, 1966), which predicts resistance to price changes perceived as unexplained or non-consensual.</w:t>
      </w:r>
    </w:p>
    <w:p>
      <w:pPr>
        <w:pStyle w:val="Heading2"/>
      </w:pPr>
      <w:r>
        <w:t>Data</w:t>
      </w:r>
    </w:p>
    <w:p>
      <w:r>
        <w:t xml:space="preserve">The corpus consisted of publicly available corporate communications — earnings-call transcripts, official press statements, and price bulletins — addressing tariff-driven pricing decisions, drawn from </w:t>
      </w:r>
      <w:r>
        <w:rPr>
          <w:b/>
        </w:rPr>
        <w:t>15</w:t>
      </w:r>
      <w:r>
        <w:t xml:space="preserve"> firms spanning apparel/footwear, toys, automotive, HVAC, building materials, home goods, furniture, general merchandise, steel/industrial, and food service. As of the final verification pass (2026-08-29), </w:t>
      </w:r>
      <w:r>
        <w:rPr>
          <w:b/>
        </w:rPr>
        <w:t>14 of the 15 artifacts are Tier A</w:t>
      </w:r>
      <w:r>
        <w:t xml:space="preserve"> (primary-fetched — an official transcript, press release, or investor-relations page directly read, or an on-the-record statement to a named outlet cross-corroborated across independent sources). The remaining Home Depot artifact is Tier B for two of its three messaging beats; its central beat is itself Tier A. One artifact (Chipotle) is Tier C — its quote is confirmed accurate, but it is dated roughly a year earlier than the rest of the corpus, raising a scope question addressed under Coding Procedure below. Because the corpus consists exclusively of publicly available corporate disclosures with no interaction with or data collection from human subjects, Study 1 was determined exempt from IRB review under 45 CFR 46.102(e).</w:t>
      </w:r>
    </w:p>
    <w:p>
      <w:pPr>
        <w:pStyle w:val="Heading2"/>
      </w:pPr>
      <w:r>
        <w:t>Analytic Approach</w:t>
      </w:r>
    </w:p>
    <w:p>
      <w:r>
        <w:t xml:space="preserve">Consistent with a growing body of methodological guidance on AI-assisted qualitative analysis (Braun &amp; Clarke, 2006, 2019; Xu, 2026; Naeem, Smith, &amp; Thomas, 2025), Study 1 employed a </w:t>
      </w:r>
      <w:r>
        <w:rPr>
          <w:b/>
        </w:rPr>
        <w:t>small-q, coding-reliability thematic analysis</w:t>
      </w:r>
      <w:r>
        <w:t xml:space="preserve"> — distinct from Braun and Clarke's "Big Q" reflexive tradition, which treats researcher subjectivity as the locus of quality and explicitly rejects reliability statistics as a validity marker. Because Study 1's themes were intended to ground a confirmatory quantitative program (Study 2's experimental manipulation, Study 3's structural model), a coding-reliability framing — in which agreement between coders is reported as evidence of trustworthiness — was the methodologically consistent choice.</w:t>
      </w:r>
    </w:p>
    <w:p>
      <w:r>
        <w:t>Coding was conducted through a human–AI collaborative workflow using Claude (Anthropic), following an established six-phase procedure adapted from Naeem et al. (2025) and consistent with the practice documented in Xu (2026) and Goyanes, Lopezosa, and Jordá (2025): (0) optional quantitative triage of the corpus, (0.5) briefing the model on the research question, data source, and theoretical frame, (1) deductive and inductive coding of individual artifacts, (2) clustering of codes into candidate themes, (3) review and refinement of candidate themes, (4) definition and naming of finalized themes, and (5) write-up. Consistent with the precedent established in Xu (2026),</w:t>
      </w:r>
    </w:p>
    <w:p>
      <w:r>
        <w:rPr>
          <w:b/>
        </w:rPr>
        <w:t>Phase 3 (theme review) was conducted by the researcher.</w:t>
      </w:r>
      <w:r>
        <w:t xml:space="preserve"> Claude surfaced candidate resolutions for each open clustering/scope decision with supporting evidence summarized for each (</w:t>
      </w:r>
      <w:r>
        <w:rPr>
          <w:rFonts w:ascii="Consolas" w:hAnsi="Consolas"/>
          <w:sz w:val="20"/>
        </w:rPr>
        <w:t>Study1_Phase3_Quick_Decisions_2026-09-04.md</w:t>
      </w:r>
      <w:r>
        <w:t xml:space="preserve">); the researcher independently reviewed these, adopted three as proposed, and overrode a fourth — declining to elevate a single-artifact deviant case (Home Depot's </w:t>
      </w:r>
      <w:r>
        <w:rPr>
          <w:rFonts w:ascii="Consolas" w:hAnsi="Consolas"/>
          <w:sz w:val="20"/>
        </w:rPr>
        <w:t>reversal-narrative</w:t>
      </w:r>
      <w:r>
        <w:t>) to a seventh theme on the grounds that doing so would overstate what one case supports, finalizing six themes instead of the seven Claude had proposed.</w:t>
      </w:r>
    </w:p>
    <w:p>
      <w:pPr>
        <w:pStyle w:val="Heading2"/>
      </w:pPr>
      <w:r>
        <w:t>Reliability and Validity</w:t>
      </w:r>
    </w:p>
    <w:p>
      <w:r>
        <w:t xml:space="preserve">The growing empirical literature on LLM-assisted thematic and qualitative coding provides a basis for confidence in this approach while also indicating its limits. In a blinded comparison against human analysts, Hill et al. (2026) found Claude 4 Sonnet achieved deductive-coding agreement (93.5%; Gwet's AC1 = .93) statistically indistinguishable from, and numerically exceeding, trained human coders (92.7%; AC1 = .92) on a comparable corpus. AlGhamdi (2026), evaluating Claude Code specifically against a human/NVivo baseline, reported a pattern of </w:t>
      </w:r>
      <w:r>
        <w:rPr>
          <w:b/>
        </w:rPr>
        <w:t>hierarchical convergence</w:t>
      </w:r>
      <w:r>
        <w:t>: agreement at the level of individual codes was more variable than agreement at the level of higher-order themes, and structured, multi-phase prompting produced more stable alignment than single-shot prompting — the prompting approach adopted here. Both studies, along with Misra et al. (2026) and prior work in this literature, converge on a consistent pattern: agreement is highest for descriptive/semantic coding and lower for latent, interpretive coding.</w:t>
      </w:r>
    </w:p>
    <w:p>
      <w:r>
        <w:rPr>
          <w:b/>
        </w:rPr>
        <w:t>[PENDING]</w:t>
      </w:r>
      <w:r>
        <w:t xml:space="preserve"> A validation pilot has not yet been conducted for this corpus — confirm with the grad assistant whether the blind-coding worksheet has been completed.</w:t>
      </w:r>
    </w:p>
    <w:p>
      <w:pPr>
        <w:pStyle w:val="Heading2"/>
      </w:pPr>
      <w:r>
        <w:t>Coding Procedure and Themes</w:t>
      </w:r>
    </w:p>
    <w:p>
      <w:r>
        <w:rPr>
          <w:b/>
        </w:rPr>
        <w:t>Phase 3 (theme review) completed by the researcher, 2026-09-04</w:t>
      </w:r>
      <w:r>
        <w:t xml:space="preserve"> — final decisions and reasoning in </w:t>
      </w:r>
      <w:r>
        <w:rPr>
          <w:rFonts w:ascii="Consolas" w:hAnsi="Consolas"/>
          <w:sz w:val="20"/>
        </w:rPr>
        <w:t>Study1_Phase3_Quick_Decisions_2026-09-04.md</w:t>
      </w:r>
      <w:r>
        <w:t xml:space="preserve">. Six themes were finalized: (1) restraint signaling, (2) causation attribution, (3) mitigation-effort narrative (encompassing three quantified variants surfaced during verification: partial pass-through, partial absorption, and quantified cost-absorption), (4) normalization through relabeling, (5) asymmetric disclosure (single-case, reported as an exploratory observation rather than a stable pattern), and (6) full-absorption promise (single-case, Chipotle, scoped as a bounded earlier-wave observation — see Results). La-Z-Boy is treated as a boundary/counter-example case (limited tariff exposure via domestic manufacturing) rather than a pass-through exemplar; </w:t>
      </w:r>
      <w:r>
        <w:rPr>
          <w:rFonts w:ascii="Consolas" w:hAnsi="Consolas"/>
          <w:sz w:val="20"/>
        </w:rPr>
        <w:t>section-232-specific</w:t>
      </w:r>
      <w:r>
        <w:t xml:space="preserve"> is retained as a legal-basis metadata tag, not a thematic code. Home Depot's </w:t>
      </w:r>
      <w:r>
        <w:rPr>
          <w:rFonts w:ascii="Consolas" w:hAnsi="Consolas"/>
          <w:sz w:val="20"/>
        </w:rPr>
        <w:t>reversal-narrative</w:t>
      </w:r>
      <w:r>
        <w:t xml:space="preserve"> code — a stated position changing over time under sustained pressure — was deliberately </w:t>
      </w:r>
      <w:r>
        <w:rPr>
          <w:b/>
        </w:rPr>
        <w:t>not</w:t>
      </w:r>
      <w:r>
        <w:t xml:space="preserve"> elevated to a seventh theme: with a single supporting artifact, doing so would overstate what the evidence bears, so it is reported in Results as an exploratory deviant case instead, the methodologically more conservative choice.</w:t>
      </w:r>
    </w:p>
    <w:p>
      <w:pPr>
        <w:pStyle w:val="Heading2"/>
      </w:pPr>
      <w:r>
        <w:t>Results</w:t>
      </w:r>
    </w:p>
    <w:p>
      <w:r>
        <w:t>Across the 15-artifact corpus, causation attribution (Theme 2) was the most consistently present dimension, ranging from Williams-Sonoma's section-number-citing transparency ("Section 232," "Section 301") to BMW's dealer bulletin, which frames a price increase as routine business without naming a cause at all — the clearest real-world instantiation of the silent-attribution condition manipulated in Study 2. Firms rarely stopped at naming tariffs as a cause; explicit attribution was typically paired with a restraint or mitigation signal (Themes 1 and 3), consistent with the theoretical logic that firms seek to be judged not only as truthful but as non-opportunistic. Nike's "surgical price increase," framed alongside a visible sourcing-shift narrative, and Lovesac's disclosed four-part mitigation strategy — which the company quantified at over $22 million in absorbed gross margin — represent the clearest cases: both name tariffs explicitly and visibly bear part of the cost, the joint condition H3 predicts should draw the strongest fairness response. Theme 3 also captured three more granular variants once the corpus was verified against primary sources: IKEA's explicit partial pass-through (raising Uppland sofa pricing from $849 to $899 while stating it "can't stay immune to absorb all the costs" itself), Birkenstock's quantified partial-absorption logic (a price increase held to roughly 2.5 times the tariff cost rather than passed through in full, explicitly framed against the company's identity as "a democratic brand"), and Lovesac's own quantified absorption figure above — together suggesting that when firms do share the burden, they increasingly attach a number to the claim rather than asserting restraint in the abstract, a pattern not anticipated at the design stage and worth noting as a descriptive finding independent of the experimental hypotheses.</w:t>
      </w:r>
    </w:p>
    <w:p>
      <w:r>
        <w:t xml:space="preserve">A smaller set of firms took the opposite approach, framing price changes as routine rather than exceptional (Theme 4: normalization through relabeling) — Dormakaba's press language recast a tariff-driven increase as part of an ongoing growth strategy rather than a one-off response to policy. GMS's surcharge notice, which explained a price </w:t>
      </w:r>
      <w:r>
        <w:rPr>
          <w:i/>
        </w:rPr>
        <w:t>increase</w:t>
      </w:r>
      <w:r>
        <w:t xml:space="preserve"> by citing tariffs but left a subsequent price </w:t>
      </w:r>
      <w:r>
        <w:rPr>
          <w:i/>
        </w:rPr>
        <w:t>decrease</w:t>
      </w:r>
      <w:r>
        <w:t xml:space="preserve"> unexplained, is the corpus's clearest instance of asymmetric disclosure (Theme 5) — retained as a single-case, exploratory observation rather than a generalizable pattern, since no other artifact in the corpus exhibited the same pairing.</w:t>
      </w:r>
    </w:p>
    <w:p>
      <w:r>
        <w:t>Two artifacts illustrate boundary conditions the typology above does not fully capture. La-Z-Boy raised prices in 2025 but explicitly attributed its expectation of</w:t>
      </w:r>
    </w:p>
    <w:p>
      <w:r>
        <w:rPr>
          <w:i/>
        </w:rPr>
        <w:t>no further</w:t>
      </w:r>
      <w:r>
        <w:t xml:space="preserve"> increases to near-total domestic manufacturing — a statement about limited tariff exposure rather than a fairness-messaging strategy, and a useful counter-example showing the corpus captures variation in firms' actual cost exposure, not just in how exposed firms choose to communicate. Chipotle offered the corpus's only clean full-absorption promise ("It is our intent... to absorb those costs") but the statement is dated March 2025 — roughly a year before the rest of the corpus and before the February 2026 SCOTUS ruling that reshaped the legal basis for tariff authority (see </w:t>
      </w:r>
      <w:r>
        <w:rPr>
          <w:rFonts w:ascii="Consolas" w:hAnsi="Consolas"/>
          <w:sz w:val="20"/>
        </w:rPr>
        <w:t>notes/2026-08-14-scotus-ieepa-legal-sequence-confirmed.md</w:t>
      </w:r>
      <w:r>
        <w:t>). It is retained here as illustrative of the theoretical possibility of full absorption, with its earlier dating reported transparently rather than treated as contemporaneous with the rest of the sample.</w:t>
      </w:r>
    </w:p>
    <w:p>
      <w:r>
        <w:t>Home Depot's messaging is reported as a single deviant case rather than folded into the six-theme typology above. Across three dated statements, its position shifted from an initial no-broad-increases stance (May 2025) to acknowledging "modest price movement in some categories" (Aug 2025) to citing accelerating cost pressure (May 2026) — a change in position over time under sustained pressure, which is a qualitatively different kind of pattern than the other six themes' fixed framing choices. With only one artifact exhibiting it, elevating it to a seventh theme would overstate what a single case supports; reported as a deviant case instead, it stays available as a substantively interesting observation — and a candidate for its own theme should a larger corpus surface more examples — without inflating the typology beyond what the evidence bears.</w:t>
      </w:r>
    </w:p>
    <w:p>
      <w:pPr>
        <w:pStyle w:val="Heading2"/>
      </w:pPr>
      <w:r>
        <w:t>AI-Use Disclosure</w:t>
      </w:r>
    </w:p>
    <w:p>
      <w:r>
        <w:t>Consistent with emerging disclosure norms in this literature (Xu, 2026; Naeem et al., 2025), the authors disclose that AI assistance (Claude, Anthropic) was used in corpus coding (Phases 1–2) and theme-naming support (Phase 4). For Phase 3, Claude surfaced candidate resolutions with supporting evidence for each open clustering/scope decision; the researcher independently reviewed these and made the final determination for each, including overriding one AI-surfaced recommendation (declining to elevate a single-artifact deviant case to a full theme). All final interpretive judgments were the researcher's.</w:t>
      </w:r>
    </w:p>
    <w:p>
      <w:pPr>
        <w:jc w:val="center"/>
      </w:pPr>
      <w:r>
        <w:t>————————————————————————————————————————</w:t>
      </w:r>
    </w:p>
    <w:p>
      <w:pPr>
        <w:pStyle w:val="Heading1"/>
      </w:pPr>
      <w:r>
        <w:t>Study 2 &amp; Study 3: Measures</w:t>
      </w:r>
    </w:p>
    <w:p>
      <w:pPr>
        <w:pStyle w:val="Heading2"/>
      </w:pPr>
      <w:r>
        <w:t>(New prose, written 2026-09-04 from resolved scale citations — first time this exists as manuscript text rather than a working note)</w:t>
      </w:r>
    </w:p>
    <w:p>
      <w:r>
        <w:t>Five scales were used across Studies 2 and 3, adapted from the vignette-based ("the message"/"Meridian Home") framing for Study 2 to the recalled-experience framing ("the retailer"/"this experience") for Study 3. All items used 7-point Likert response formats unless otherwise noted.</w:t>
      </w:r>
    </w:p>
    <w:p>
      <w:r>
        <w:rPr>
          <w:b/>
        </w:rPr>
        <w:t>Perceived price fairness</w:t>
      </w:r>
      <w:r>
        <w:t xml:space="preserve"> was measured with two items from Campbell (1999, Study 2): a bipolar item ("very fair" to "very unfair") and a reverse-scored agreement item ("This price is not fair," "strongly agree" to "strongly disagree"), averaged after reverse- scoring. The original study reports r = .84 (p &lt; .0001).</w:t>
      </w:r>
    </w:p>
    <w:p>
      <w:r>
        <w:rPr>
          <w:b/>
        </w:rPr>
        <w:t>Perceived opportunism</w:t>
      </w:r>
      <w:r>
        <w:t xml:space="preserve"> was measured with two items adapted from Campbell's (2007) extension of the same inferred-motive construct: a motive rating ("bad" to "good") and an agreement item ("The intent in this situation was to take advantage of you [the customer]," "agree" to "disagree" — reverse-coded relative to the instrument's other items).</w:t>
      </w:r>
    </w:p>
    <w:p>
      <w:r>
        <w:rPr>
          <w:b/>
        </w:rPr>
        <w:t>Trust in the company</w:t>
      </w:r>
      <w:r>
        <w:t xml:space="preserve"> was measured with four items from Chaudhuri and Holbrook (2001): "I trust this company," "I rely on this company," "This is an honest company," and "This company is safe."</w:t>
      </w:r>
    </w:p>
    <w:p>
      <w:r>
        <w:rPr>
          <w:b/>
        </w:rPr>
        <w:t>Purchase intention</w:t>
      </w:r>
      <w:r>
        <w:t xml:space="preserve"> was measured with a three-item scale attributed to Dodds, Monroe, and Grewal (1991), following the verbatim reproduction in Grewal, Krishnan, Baker, and Borin (1998, </w:t>
      </w:r>
      <w:r>
        <w:rPr>
          <w:i/>
        </w:rPr>
        <w:t>Journal of Retailing</w:t>
      </w:r>
      <w:r>
        <w:t>, 74(3), 331–352, Table 1): "I would purchase this [product]," "I would consider buying at this price," and "The probability that I would consider buying [this product] is [high]" (original item reliabilities .92, .90, and .94 respectively; composite reliability = .92).</w:t>
      </w:r>
    </w:p>
    <w:p>
      <w:r>
        <w:rPr>
          <w:b/>
        </w:rPr>
        <w:t>Word-of-mouth intention</w:t>
      </w:r>
      <w:r>
        <w:t xml:space="preserve"> was measured with the three-item Favorable WOM scale from Maxham and Netemeyer (2002, </w:t>
      </w:r>
      <w:r>
        <w:rPr>
          <w:i/>
        </w:rPr>
        <w:t>Journal of Marketing</w:t>
      </w:r>
      <w:r>
        <w:t>, 66[4], 57–71, Appendix A), genericized from the original banking-services context: "How likely are you to spread positive word-of-mouth about [company]?," "I would recommend [company]'s [products/ services] to my friends," and "If my friends were looking for [a product/service like this], I would tell them to try [company]" (original coefficient alpha range .83–.97 across measures and time periods).</w:t>
      </w:r>
    </w:p>
    <w:p>
      <w:r>
        <w:rPr>
          <w:b/>
        </w:rPr>
        <w:t>[NOTE for Britton: Purchase Intention above uses the Grewal et al. (1998) secondary source, not the 1991 original — see the confirm-or-override flag in `notes/2026-08-04-full-instrument-assembly.md` item 9. If you pull the actual 1991 appendix this weekend, this paragraph is a 2-minute edit, not a rewrite.]</w:t>
      </w:r>
    </w:p>
    <w:p>
      <w:pPr>
        <w:jc w:val="center"/>
      </w:pPr>
      <w:r>
        <w:t>————————————————————————————————————————</w:t>
      </w:r>
    </w:p>
    <w:p>
      <w:pPr>
        <w:pStyle w:val="Heading1"/>
      </w:pPr>
      <w:r>
        <w:t>What's not written yet (correctly)</w:t>
      </w:r>
    </w:p>
    <w:p>
      <w:pPr>
        <w:pStyle w:val="ListBullet"/>
      </w:pPr>
      <w:r>
        <w:rPr>
          <w:b/>
        </w:rPr>
        <w:t>Study 2 Results, Study 3 Results</w:t>
      </w:r>
      <w:r>
        <w:t xml:space="preserve"> — no data collected; IRB not yet submitted.</w:t>
      </w:r>
    </w:p>
    <w:p>
      <w:pPr>
        <w:pStyle w:val="ListBullet"/>
      </w:pPr>
      <w:r>
        <w:rPr>
          <w:b/>
        </w:rPr>
        <w:t>Discussion, Implications, Limitations, Conclusion</w:t>
      </w:r>
      <w:r>
        <w:t xml:space="preserve"> — depend on the above.</w:t>
      </w:r>
    </w:p>
    <w:p>
      <w:pPr>
        <w:pStyle w:val="ListBullet"/>
      </w:pPr>
      <w:r>
        <w:rPr>
          <w:b/>
        </w:rPr>
        <w:t>Full reference list</w:t>
      </w:r>
      <w:r>
        <w:t xml:space="preserve"> — every citation above traces to a real source found and</w:t>
      </w:r>
    </w:p>
    <w:p>
      <w:r>
        <w:t>read directly in this project's own research (Campbell 1999/2007, Chaudhuri &amp; Holbrook 2001, Grewal et al. 1998, Dodds et al. 1991, Maxham &amp; Netemeyer 2002, Hill et al. 2026, AlGhamdi 2026, Braun &amp; Clarke 2006/2019, Xu 2026, Naeem et al. 2025, Goyanes et al. 2025, Misra et al. 2026, KPMG 2026 survey), with full bibliographic detail available in the notes cited inline above. The theoretical-foundation citations (Kahneman, Knetsch, &amp; Thaler 1986; Kahneman &amp; Tversky 1979; Tversky &amp; Kahneman 1981; Brehm 1966) are classic, well-known citations that predate this project's own verification pipeline — worth one quick check of exact journal/ volume/page details before the reference list is finalized, same as everything else got checked.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