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32"/>
        </w:rPr>
        <w:t>2 × 2 Factorial ANOVA Results — Ethnicity × Year (8 composites)</w:t>
      </w:r>
    </w:p>
    <w:p>
      <w:r>
        <w:rPr>
          <w:rFonts w:ascii="Times New Roman" w:hAnsi="Times New Roman"/>
          <w:i/>
          <w:sz w:val="20"/>
        </w:rPr>
        <w:t>ANOVA tables for all eight composite outcomes (six non-contact + two contact composites), with associated simple-effect Cohen's d decomposition (Table 2) and Levene's tests of variance homogeneity across waves (Table 3). Contact composites are scale-inverted so higher = more frequent contact. APA-7 formatting throughout.</w:t>
      </w:r>
    </w:p>
    <w:p/>
    <w:p>
      <w:r>
        <w:rPr>
          <w:rFonts w:ascii="Times New Roman" w:hAnsi="Times New Roman"/>
          <w:b/>
          <w:sz w:val="22"/>
        </w:rPr>
        <w:t>Table 1</w:t>
      </w:r>
    </w:p>
    <w:p>
      <w:r>
        <w:rPr>
          <w:rFonts w:ascii="Times New Roman" w:hAnsi="Times New Roman"/>
          <w:i/>
          <w:sz w:val="22"/>
        </w:rPr>
        <w:t>Means and standard deviations of all outcome measures and the results of 2 × 2 univariate analyses of variance (Ethnicity × Year).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vMerge w:val="restart"/>
            <w:tcBorders>
              <w:top w:val="nil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Outcomes</w:t>
            </w:r>
          </w:p>
        </w:tc>
        <w:tc>
          <w:tcPr>
            <w:tcW w:type="dxa" w:w="1261"/>
            <w:vMerge w:val="restart"/>
            <w:tcBorders>
              <w:top w:val="nil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Wave</w:t>
            </w:r>
          </w:p>
        </w:tc>
        <w:tc>
          <w:tcPr>
            <w:tcW w:type="dxa" w:w="2522"/>
            <w:gridSpan w:val="2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Estonian</w:t>
            </w:r>
          </w:p>
        </w:tc>
        <w:tc>
          <w:tcPr>
            <w:tcW w:type="dxa" w:w="2522"/>
            <w:gridSpan w:val="2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Russian</w:t>
            </w:r>
          </w:p>
        </w:tc>
        <w:tc>
          <w:tcPr>
            <w:tcW w:type="dxa" w:w="2522"/>
            <w:gridSpan w:val="2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Ethnicity</w:t>
            </w:r>
          </w:p>
        </w:tc>
        <w:tc>
          <w:tcPr>
            <w:tcW w:type="dxa" w:w="2522"/>
            <w:gridSpan w:val="2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Year</w:t>
            </w:r>
          </w:p>
        </w:tc>
        <w:tc>
          <w:tcPr>
            <w:tcW w:type="dxa" w:w="2522"/>
            <w:gridSpan w:val="2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Ethnicity × Year</w:t>
            </w:r>
          </w:p>
        </w:tc>
      </w:tr>
      <w:tr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M</w:t>
            </w:r>
          </w:p>
        </w:tc>
        <w:tc>
          <w:tcPr>
            <w:tcW w:type="dxa" w:w="1261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SD</w:t>
            </w:r>
          </w:p>
        </w:tc>
        <w:tc>
          <w:tcPr>
            <w:tcW w:type="dxa" w:w="1261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M</w:t>
            </w:r>
          </w:p>
        </w:tc>
        <w:tc>
          <w:tcPr>
            <w:tcW w:type="dxa" w:w="1261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SD</w:t>
            </w:r>
          </w:p>
        </w:tc>
        <w:tc>
          <w:tcPr>
            <w:tcW w:type="dxa" w:w="1261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F</w:t>
            </w:r>
          </w:p>
        </w:tc>
        <w:tc>
          <w:tcPr>
            <w:tcW w:type="dxa" w:w="1261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p</w:t>
            </w:r>
          </w:p>
        </w:tc>
        <w:tc>
          <w:tcPr>
            <w:tcW w:type="dxa" w:w="1261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F</w:t>
            </w:r>
          </w:p>
        </w:tc>
        <w:tc>
          <w:tcPr>
            <w:tcW w:type="dxa" w:w="1261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p</w:t>
            </w:r>
          </w:p>
        </w:tc>
        <w:tc>
          <w:tcPr>
            <w:tcW w:type="dxa" w:w="1261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F</w:t>
            </w:r>
          </w:p>
        </w:tc>
        <w:tc>
          <w:tcPr>
            <w:tcW w:type="dxa" w:w="1261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p</w:t>
            </w:r>
          </w:p>
        </w:tc>
      </w:tr>
      <w:tr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Superordinate Identity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3.55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⁺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0.51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2.92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0.66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573.01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.176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0.25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.616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.000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2.64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.104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.001</w:t>
            </w:r>
          </w:p>
        </w:tc>
      </w:tr>
      <w:tr>
        <w:tc>
          <w:tcPr>
            <w:tcW w:type="dxa" w:w="1261"/>
            <w:vMerge/>
          </w:tcPr>
          <w:p/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3.50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⁺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0.60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2.95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0.79</w:t>
            </w:r>
          </w:p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</w:tr>
      <w:tr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Primary Out-group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2.51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a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0.88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1.90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0.80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547.94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.178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21.93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.009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40.57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.016</w:t>
            </w:r>
          </w:p>
        </w:tc>
      </w:tr>
      <w:tr>
        <w:tc>
          <w:tcPr>
            <w:tcW w:type="dxa" w:w="1261"/>
            <w:vMerge/>
          </w:tcPr>
          <w:p/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2.91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b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1.04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1.83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0.77</w:t>
            </w:r>
          </w:p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</w:tr>
      <w:tr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General Out-group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2.91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a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1.01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3.12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a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1.02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2.50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.114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.001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96.67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.036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16.48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.006</w:t>
            </w:r>
          </w:p>
        </w:tc>
      </w:tr>
      <w:tr>
        <w:tc>
          <w:tcPr>
            <w:tcW w:type="dxa" w:w="1261"/>
            <w:vMerge/>
          </w:tcPr>
          <w:p/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2.70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b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0.90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2.60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b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0.81</w:t>
            </w:r>
          </w:p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</w:tr>
      <w:tr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Comparative Opportunity Assessment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3.44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a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0.49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3.86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a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0.56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376.69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.125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65.83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.024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0.63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.426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.000</w:t>
            </w:r>
          </w:p>
        </w:tc>
      </w:tr>
      <w:tr>
        <w:tc>
          <w:tcPr>
            <w:tcW w:type="dxa" w:w="1261"/>
            <w:vMerge/>
          </w:tcPr>
          <w:p/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3.29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b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0.52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3.68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b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0.53</w:t>
            </w:r>
          </w:p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</w:tr>
      <w:tr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Belief in Inevitable Conflict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2.22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⁺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0.57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1.97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a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0.58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238.71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.082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7.33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.007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.003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25.26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.009</w:t>
            </w:r>
          </w:p>
        </w:tc>
      </w:tr>
      <w:tr>
        <w:tc>
          <w:tcPr>
            <w:tcW w:type="dxa" w:w="1261"/>
            <w:vMerge/>
          </w:tcPr>
          <w:p/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2.28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⁺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0.67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1.79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b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0.58</w:t>
            </w:r>
          </w:p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</w:tr>
      <w:tr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Minority Inclusion Support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2.79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a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0.70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3.43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0.59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695.11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.211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2.54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.111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.001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6.31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.012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.002</w:t>
            </w:r>
          </w:p>
        </w:tc>
      </w:tr>
      <w:tr>
        <w:tc>
          <w:tcPr>
            <w:tcW w:type="dxa" w:w="1261"/>
            <w:vMerge/>
          </w:tcPr>
          <w:p/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2.67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b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0.77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3.46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0.60</w:t>
            </w:r>
          </w:p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</w:tr>
      <w:tr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Estonian Speakers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4.15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a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0.98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2.14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a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1.14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2029.14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.430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75.65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.027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33.76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.012</w:t>
            </w:r>
          </w:p>
        </w:tc>
      </w:tr>
      <w:tr>
        <w:tc>
          <w:tcPr>
            <w:tcW w:type="dxa" w:w="1261"/>
            <w:vMerge/>
          </w:tcPr>
          <w:p/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4.26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b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0.86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2.71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b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1.10</w:t>
            </w:r>
          </w:p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</w:tr>
      <w:tr>
        <w:tc>
          <w:tcPr>
            <w:tcW w:type="dxa" w:w="1261"/>
            <w:vMerge w:val="restart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Russian Speakers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2.02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a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1.06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4.21</w:t>
            </w:r>
          </w:p>
        </w:tc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0.88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3144.45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 .001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.539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5.78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.016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.002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0.22</w:t>
            </w:r>
          </w:p>
        </w:tc>
        <w:tc>
          <w:tcPr>
            <w:tcW w:type="dxa" w:w="1261"/>
            <w:vMerge w:val="restart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.643</w:t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η²ₚ = .000</w:t>
            </w:r>
          </w:p>
        </w:tc>
      </w:tr>
      <w:tr>
        <w:tc>
          <w:tcPr>
            <w:tcW w:type="dxa" w:w="1261"/>
            <w:vMerge/>
          </w:tcPr>
          <w:p/>
        </w:tc>
        <w:tc>
          <w:tcPr>
            <w:tcW w:type="dxa" w:w="1261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261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2.13</w:t>
            </w:r>
            <w:r>
              <w:rPr>
                <w:rFonts w:ascii="Times New Roman" w:hAnsi="Times New Roman"/>
                <w:b w:val="0"/>
                <w:i w:val="0"/>
                <w:sz w:val="20"/>
                <w:vertAlign w:val="superscript"/>
              </w:rPr>
              <w:t>b</w:t>
            </w:r>
          </w:p>
        </w:tc>
        <w:tc>
          <w:tcPr>
            <w:tcW w:type="dxa" w:w="1261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1.10</w:t>
            </w:r>
          </w:p>
        </w:tc>
        <w:tc>
          <w:tcPr>
            <w:tcW w:type="dxa" w:w="1261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4.29</w:t>
            </w:r>
          </w:p>
        </w:tc>
        <w:tc>
          <w:tcPr>
            <w:tcW w:type="dxa" w:w="1261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0.80</w:t>
            </w:r>
          </w:p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  <w:tc>
          <w:tcPr>
            <w:tcW w:type="dxa" w:w="1261"/>
            <w:vMerge/>
          </w:tcPr>
          <w:p/>
        </w:tc>
      </w:tr>
    </w:tbl>
    <w:p>
      <w:r>
        <w:rPr>
          <w:rFonts w:ascii="Times New Roman" w:hAnsi="Times New Roman"/>
          <w:b w:val="0"/>
          <w:i/>
          <w:sz w:val="18"/>
        </w:rPr>
        <w:t xml:space="preserve">Note. </w:t>
      </w:r>
      <w:r>
        <w:rPr>
          <w:rFonts w:ascii="Times New Roman" w:hAnsi="Times New Roman"/>
          <w:b w:val="0"/>
          <w:i w:val="0"/>
          <w:sz w:val="18"/>
        </w:rPr>
        <w:t xml:space="preserve">Superscripts (a, b) within a group's column indicate that the two waves' means differ at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.05; ⁺ indicates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.10. </w:t>
      </w:r>
      <w:r>
        <w:rPr>
          <w:rFonts w:ascii="Times New Roman" w:hAnsi="Times New Roman"/>
          <w:b w:val="0"/>
          <w:i/>
          <w:sz w:val="18"/>
        </w:rPr>
        <w:t>M</w:t>
      </w:r>
      <w:r>
        <w:rPr>
          <w:rFonts w:ascii="Times New Roman" w:hAnsi="Times New Roman"/>
          <w:b w:val="0"/>
          <w:i w:val="0"/>
          <w:sz w:val="18"/>
        </w:rPr>
        <w:t xml:space="preserve"> = mean composite on the original Likert metric (after any scale-inversion noted in the methods). Contact composites are inverted so higher = more frequent contact (raw 1 = almost every day; raw 5 = no communication). </w:t>
      </w:r>
      <w:r>
        <w:rPr>
          <w:rFonts w:ascii="Times New Roman" w:hAnsi="Times New Roman"/>
          <w:b w:val="0"/>
          <w:i/>
          <w:sz w:val="18"/>
        </w:rPr>
        <w:t>F</w:t>
      </w:r>
      <w:r>
        <w:rPr>
          <w:rFonts w:ascii="Times New Roman" w:hAnsi="Times New Roman"/>
          <w:b w:val="0"/>
          <w:i w:val="0"/>
          <w:sz w:val="18"/>
        </w:rPr>
        <w:t xml:space="preserve"> = Type III ANOVA </w:t>
      </w:r>
      <w:r>
        <w:rPr>
          <w:rFonts w:ascii="Times New Roman" w:hAnsi="Times New Roman"/>
          <w:b w:val="0"/>
          <w:i/>
          <w:sz w:val="18"/>
        </w:rPr>
        <w:t>F</w:t>
      </w:r>
      <w:r>
        <w:rPr>
          <w:rFonts w:ascii="Times New Roman" w:hAnsi="Times New Roman"/>
          <w:b w:val="0"/>
          <w:i w:val="0"/>
          <w:sz w:val="18"/>
        </w:rPr>
        <w:t>-statistic, 1 numerator df. η²ₚ = partial eta-squared (small ≈ .01, medium ≈ .06, large ≈ .14).</w:t>
      </w:r>
    </w:p>
    <w:p/>
    <w:p>
      <w:r>
        <w:br w:type="page"/>
      </w:r>
    </w:p>
    <w:p>
      <w:r>
        <w:rPr>
          <w:rFonts w:ascii="Times New Roman" w:hAnsi="Times New Roman"/>
          <w:b/>
          <w:sz w:val="22"/>
        </w:rPr>
        <w:t>Table 2</w:t>
      </w:r>
    </w:p>
    <w:p>
      <w:r>
        <w:rPr>
          <w:rFonts w:ascii="Times New Roman" w:hAnsi="Times New Roman"/>
          <w:i/>
          <w:sz w:val="22"/>
        </w:rPr>
        <w:t>Simple-effect Cohen's d with 95% confidence intervals decomposing the 2 × 2 design into between-group (within wave) and within-group (across wave) comparisons.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Outcomes</w:t>
            </w:r>
          </w:p>
        </w:tc>
        <w:tc>
          <w:tcPr>
            <w:tcW w:type="dxa" w:w="3028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Between-group 2020</w:t>
              <w:br/>
            </w:r>
            <w:r>
              <w:rPr>
                <w:rFonts w:ascii="Times New Roman" w:hAnsi="Times New Roman"/>
                <w:b/>
                <w:i w:val="0"/>
                <w:sz w:val="20"/>
              </w:rPr>
              <w:t>(Estonian − Russian)</w:t>
            </w:r>
          </w:p>
        </w:tc>
        <w:tc>
          <w:tcPr>
            <w:tcW w:type="dxa" w:w="3028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Between-group 2023</w:t>
              <w:br/>
            </w:r>
            <w:r>
              <w:rPr>
                <w:rFonts w:ascii="Times New Roman" w:hAnsi="Times New Roman"/>
                <w:b/>
                <w:i w:val="0"/>
                <w:sz w:val="20"/>
              </w:rPr>
              <w:t>(Estonian − Russian)</w:t>
            </w:r>
          </w:p>
        </w:tc>
        <w:tc>
          <w:tcPr>
            <w:tcW w:type="dxa" w:w="3028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Estonian respondents</w:t>
              <w:br/>
            </w:r>
            <w:r>
              <w:rPr>
                <w:rFonts w:ascii="Times New Roman" w:hAnsi="Times New Roman"/>
                <w:b/>
                <w:i w:val="0"/>
                <w:sz w:val="20"/>
              </w:rPr>
              <w:t>(2023 − 2020)</w:t>
            </w:r>
          </w:p>
        </w:tc>
        <w:tc>
          <w:tcPr>
            <w:tcW w:type="dxa" w:w="3028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Russian respondents</w:t>
              <w:br/>
            </w:r>
            <w:r>
              <w:rPr>
                <w:rFonts w:ascii="Times New Roman" w:hAnsi="Times New Roman"/>
                <w:b/>
                <w:i w:val="0"/>
                <w:sz w:val="20"/>
              </w:rPr>
              <w:t>(2023 − 2020)</w:t>
            </w:r>
          </w:p>
        </w:tc>
      </w:tr>
      <w:tr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Superordinate Identity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+1.081***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[+0.964, +1.197]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+0.792***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[+0.679, +0.905]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-0.095⁺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[-0.195, +0.004]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+0.038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[-0.079, +0.156]</w:t>
            </w:r>
          </w:p>
        </w:tc>
      </w:tr>
      <w:tr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Primary Out-group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+0.735***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[+0.620, +0.850]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+1.183***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[+1.061, +1.305]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+0.416***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[+0.313, +0.520]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-0.078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[-0.199, +0.043]</w:t>
            </w:r>
          </w:p>
        </w:tc>
      </w:tr>
      <w:tr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General Out-group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-0.207***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[-0.319, -0.096]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+0.108*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[-0.001, +0.218]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-0.225***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[-0.326, -0.124]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-0.564***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[-0.685, -0.443]</w:t>
            </w:r>
          </w:p>
        </w:tc>
      </w:tr>
      <w:tr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Comparative Opportunity Assessment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-0.793***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[-0.907, -0.679]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-0.735***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[-0.848, -0.622]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-0.300***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[-0.402, -0.199]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-0.338***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[-0.456, -0.220]</w:t>
            </w:r>
          </w:p>
        </w:tc>
      </w:tr>
      <w:tr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Belief in Inevitable Conflict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+0.436***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[+0.326, +0.546]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+0.783***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[+0.669, +0.897]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+0.090⁺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[-0.011, +0.190]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-0.320***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[-0.439, -0.201]</w:t>
            </w:r>
          </w:p>
        </w:tc>
      </w:tr>
      <w:tr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Minority Inclusion Support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-1.004***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[-1.121, -0.887]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-1.138***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[-1.257, -1.020]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-0.152**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[-0.253, -0.051]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+0.042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[-0.077, +0.161]</w:t>
            </w:r>
          </w:p>
        </w:tc>
      </w:tr>
      <w:tr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Estonian Speakers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+1.888***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[+1.758, +2.019]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+1.570***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[+1.447, +1.694]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+0.124*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[+0.024, +0.223]</w:t>
            </w:r>
          </w:p>
        </w:tc>
        <w:tc>
          <w:tcPr>
            <w:tcW w:type="dxa" w:w="302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+0.511***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[+0.393, +0.630]</w:t>
            </w:r>
          </w:p>
        </w:tc>
      </w:tr>
      <w:tr>
        <w:tc>
          <w:tcPr>
            <w:tcW w:type="dxa" w:w="302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Russian Speakers</w:t>
            </w:r>
          </w:p>
        </w:tc>
        <w:tc>
          <w:tcPr>
            <w:tcW w:type="dxa" w:w="302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-2.251***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[-2.390, -2.113]</w:t>
            </w:r>
          </w:p>
        </w:tc>
        <w:tc>
          <w:tcPr>
            <w:tcW w:type="dxa" w:w="302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-2.245***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[-2.382, -2.108]</w:t>
            </w:r>
          </w:p>
        </w:tc>
        <w:tc>
          <w:tcPr>
            <w:tcW w:type="dxa" w:w="302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+0.103*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[+0.003, +0.203]</w:t>
            </w:r>
          </w:p>
        </w:tc>
        <w:tc>
          <w:tcPr>
            <w:tcW w:type="dxa" w:w="302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+0.089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[-0.028, +0.207]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 xml:space="preserve">Note. </w:t>
      </w:r>
      <w:r>
        <w:rPr>
          <w:rFonts w:ascii="Times New Roman" w:hAnsi="Times New Roman"/>
          <w:b w:val="0"/>
          <w:i/>
          <w:sz w:val="18"/>
        </w:rPr>
        <w:t>d</w:t>
      </w:r>
      <w:r>
        <w:rPr>
          <w:rFonts w:ascii="Times New Roman" w:hAnsi="Times New Roman"/>
          <w:b w:val="0"/>
          <w:i w:val="0"/>
          <w:sz w:val="18"/>
        </w:rPr>
        <w:t xml:space="preserve"> = Cohen's d with root-mean-square SD denominator. 95% CIs use the Hedges &amp; Olkin (1985) asymptotic standard error.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from Welch's </w:t>
      </w:r>
      <w:r>
        <w:rPr>
          <w:rFonts w:ascii="Times New Roman" w:hAnsi="Times New Roman"/>
          <w:b w:val="0"/>
          <w:i/>
          <w:sz w:val="18"/>
        </w:rPr>
        <w:t>t</w:t>
      </w:r>
      <w:r>
        <w:rPr>
          <w:rFonts w:ascii="Times New Roman" w:hAnsi="Times New Roman"/>
          <w:b w:val="0"/>
          <w:i w:val="0"/>
          <w:sz w:val="18"/>
        </w:rPr>
        <w:t xml:space="preserve">-tests. Between-group columns: positive </w:t>
      </w:r>
      <w:r>
        <w:rPr>
          <w:rFonts w:ascii="Times New Roman" w:hAnsi="Times New Roman"/>
          <w:b w:val="0"/>
          <w:i/>
          <w:sz w:val="18"/>
        </w:rPr>
        <w:t>d</w:t>
      </w:r>
      <w:r>
        <w:rPr>
          <w:rFonts w:ascii="Times New Roman" w:hAnsi="Times New Roman"/>
          <w:b w:val="0"/>
          <w:i w:val="0"/>
          <w:sz w:val="18"/>
        </w:rPr>
        <w:t xml:space="preserve"> = Estonians scored higher than Russians. Within-group columns: positive </w:t>
      </w:r>
      <w:r>
        <w:rPr>
          <w:rFonts w:ascii="Times New Roman" w:hAnsi="Times New Roman"/>
          <w:b w:val="0"/>
          <w:i/>
          <w:sz w:val="18"/>
        </w:rPr>
        <w:t>d</w:t>
      </w:r>
      <w:r>
        <w:rPr>
          <w:rFonts w:ascii="Times New Roman" w:hAnsi="Times New Roman"/>
          <w:b w:val="0"/>
          <w:i w:val="0"/>
          <w:sz w:val="18"/>
        </w:rPr>
        <w:t xml:space="preserve"> = 2023 scored higher than 2020. ***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.001, **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.01, 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.05, ⁺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.10.</w:t>
      </w:r>
    </w:p>
    <w:p/>
    <w:p>
      <w:r>
        <w:br w:type="page"/>
      </w:r>
    </w:p>
    <w:p>
      <w:r>
        <w:rPr>
          <w:rFonts w:ascii="Times New Roman" w:hAnsi="Times New Roman"/>
          <w:b/>
          <w:sz w:val="22"/>
        </w:rPr>
        <w:t>Table 3</w:t>
      </w:r>
    </w:p>
    <w:p>
      <w:r>
        <w:rPr>
          <w:rFonts w:ascii="Times New Roman" w:hAnsi="Times New Roman"/>
          <w:i/>
          <w:sz w:val="22"/>
        </w:rPr>
        <w:t>Levene's tests (Brown–Forsythe variant) of variance homogeneity across waves, conducted separately within each ethnic group.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Outcomes</w:t>
            </w:r>
          </w:p>
        </w:tc>
        <w:tc>
          <w:tcPr>
            <w:tcW w:type="dxa" w:w="5046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Estonian respondents</w:t>
              <w:br/>
            </w:r>
            <w:r>
              <w:rPr>
                <w:rFonts w:ascii="Times New Roman" w:hAnsi="Times New Roman"/>
                <w:b/>
                <w:i w:val="0"/>
                <w:sz w:val="20"/>
              </w:rPr>
              <w:t>F, p,  var(2020) → var(2023)</w:t>
            </w:r>
          </w:p>
        </w:tc>
        <w:tc>
          <w:tcPr>
            <w:tcW w:type="dxa" w:w="5046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Russian respondents</w:t>
              <w:br/>
            </w:r>
            <w:r>
              <w:rPr>
                <w:rFonts w:ascii="Times New Roman" w:hAnsi="Times New Roman"/>
                <w:b/>
                <w:i w:val="0"/>
                <w:sz w:val="20"/>
              </w:rPr>
              <w:t>F, p,  var(2020) → var(2023)</w:t>
            </w:r>
          </w:p>
        </w:tc>
      </w:tr>
      <w:tr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Superordinate Identity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5.62, p = .018*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0.257 → 0.362 ↑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22.97, p = &lt; .001***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0.436 → 0.622 ↑</w:t>
            </w:r>
          </w:p>
        </w:tc>
      </w:tr>
      <w:tr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Primary Out-group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10.44, p = .001**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0.780 → 1.073 ↑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1.35, p = .245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0.634 → 0.595 ↓</w:t>
            </w:r>
          </w:p>
        </w:tc>
      </w:tr>
      <w:tr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General Out-group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2.80, p = .094⁺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1.019 → 0.803 ↓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24.13, p = &lt; .001***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1.032 → 0.652 ↓</w:t>
            </w:r>
          </w:p>
        </w:tc>
      </w:tr>
      <w:tr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Comparative Opportunity Assessment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0.75, p = .388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0.244 → 0.268 ↑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1.39, p = .239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0.315 → 0.284 ↓</w:t>
            </w:r>
          </w:p>
        </w:tc>
      </w:tr>
      <w:tr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Belief in Inevitable Conflict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20.21, p = &lt; .001***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0.325 → 0.447 ↑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0.01, p = .934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0.334 → 0.341 ↑</w:t>
            </w:r>
          </w:p>
        </w:tc>
      </w:tr>
      <w:tr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Minority Inclusion Support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11.01, p = &lt; .001***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0.485 → 0.587 ↑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0.68, p = .409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0.342 → 0.357 ↑</w:t>
            </w:r>
          </w:p>
        </w:tc>
      </w:tr>
      <w:tr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Estonian Speakers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5.90, p = .015*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0.962 → 0.741 ↓</w:t>
            </w:r>
          </w:p>
        </w:tc>
        <w:tc>
          <w:tcPr>
            <w:tcW w:type="dxa" w:w="504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0.05, p = .830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1.303 → 1.209 ↓</w:t>
            </w:r>
          </w:p>
        </w:tc>
      </w:tr>
      <w:tr>
        <w:tc>
          <w:tcPr>
            <w:tcW w:type="dxa" w:w="5046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Russian Speakers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0.56, p = .456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1.126 → 1.206 ↑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 = 3.59, p = .058⁺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0.773 → 0.642 ↓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 xml:space="preserve">Note. </w:t>
      </w:r>
      <w:r>
        <w:rPr>
          <w:rFonts w:ascii="Times New Roman" w:hAnsi="Times New Roman"/>
          <w:b w:val="0"/>
          <w:i w:val="0"/>
          <w:sz w:val="18"/>
        </w:rPr>
        <w:t xml:space="preserve">Median-centered (Brown–Forsythe) Levene's test. </w:t>
      </w:r>
      <w:r>
        <w:rPr>
          <w:rFonts w:ascii="Times New Roman" w:hAnsi="Times New Roman"/>
          <w:b w:val="0"/>
          <w:i/>
          <w:sz w:val="18"/>
        </w:rPr>
        <w:t>var</w:t>
      </w:r>
      <w:r>
        <w:rPr>
          <w:rFonts w:ascii="Times New Roman" w:hAnsi="Times New Roman"/>
          <w:b w:val="0"/>
          <w:i w:val="0"/>
          <w:sz w:val="18"/>
        </w:rPr>
        <w:t xml:space="preserve">(2020) → </w:t>
      </w:r>
      <w:r>
        <w:rPr>
          <w:rFonts w:ascii="Times New Roman" w:hAnsi="Times New Roman"/>
          <w:b w:val="0"/>
          <w:i/>
          <w:sz w:val="18"/>
        </w:rPr>
        <w:t>var</w:t>
      </w:r>
      <w:r>
        <w:rPr>
          <w:rFonts w:ascii="Times New Roman" w:hAnsi="Times New Roman"/>
          <w:b w:val="0"/>
          <w:i w:val="0"/>
          <w:sz w:val="18"/>
        </w:rPr>
        <w:t xml:space="preserve">(2023) shows the within-group variance at each wave. ↑ = increased dispersion (community polarized on this attitude); ↓ = decreased dispersion (community converged). For contact composites, this captures whether respondents differed more or less in their reported contact frequency across waves. ***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.001, **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.01, 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.05, ⁺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.10.</w:t>
      </w:r>
    </w:p>
    <w:sectPr w:rsidR="00FC693F" w:rsidRPr="0006063C" w:rsidSect="00034616">
      <w:pgSz w:w="16838" w:h="11906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