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DB0B" w14:textId="77777777" w:rsidR="000B5499" w:rsidRDefault="00000000">
      <w:r>
        <w:rPr>
          <w:b/>
          <w:sz w:val="22"/>
        </w:rPr>
        <w:t>Table 1</w:t>
      </w:r>
    </w:p>
    <w:p w14:paraId="132F082B" w14:textId="77777777" w:rsidR="000B5499" w:rsidRDefault="00000000">
      <w:r>
        <w:rPr>
          <w:i/>
        </w:rPr>
        <w:t>Means, standard deviations of all outcome measures, and the results of 2 × 2 univariate analyses of variance (Ethnicity × Year).</w:t>
      </w:r>
    </w:p>
    <w:p w14:paraId="635FE83C" w14:textId="77777777" w:rsidR="00E2127E" w:rsidRDefault="00E2127E" w:rsidP="00E2127E">
      <w:r>
        <w:t>Ethnicity F: between-group separation (averaged across years)</w:t>
      </w:r>
    </w:p>
    <w:p w14:paraId="715D2148" w14:textId="77777777" w:rsidR="00E2127E" w:rsidRDefault="00E2127E" w:rsidP="00E2127E">
      <w:r>
        <w:t xml:space="preserve">Year F: separation between waves (averaged across groups) </w:t>
      </w:r>
    </w:p>
    <w:p w14:paraId="0E5924ED" w14:textId="1CD2BF0B" w:rsidR="000B5499" w:rsidRDefault="00E2127E" w:rsidP="00E2127E">
      <w:r>
        <w:t>Interaction F: whether the gap changed across waves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89"/>
        <w:gridCol w:w="863"/>
        <w:gridCol w:w="860"/>
        <w:gridCol w:w="856"/>
        <w:gridCol w:w="860"/>
        <w:gridCol w:w="856"/>
        <w:gridCol w:w="868"/>
        <w:gridCol w:w="856"/>
        <w:gridCol w:w="862"/>
        <w:gridCol w:w="862"/>
        <w:gridCol w:w="862"/>
        <w:gridCol w:w="862"/>
      </w:tblGrid>
      <w:tr w:rsidR="000B5499" w14:paraId="6F2F8CDB" w14:textId="77777777" w:rsidTr="000B5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0CEA60A2" w14:textId="77777777" w:rsidR="000B5499" w:rsidRDefault="00000000">
            <w:r>
              <w:rPr>
                <w:sz w:val="18"/>
              </w:rPr>
              <w:t>Outcomes</w:t>
            </w:r>
          </w:p>
        </w:tc>
        <w:tc>
          <w:tcPr>
            <w:tcW w:w="878" w:type="dxa"/>
            <w:vMerge w:val="restart"/>
          </w:tcPr>
          <w:p w14:paraId="1689D3BD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Wave</w:t>
            </w:r>
          </w:p>
        </w:tc>
        <w:tc>
          <w:tcPr>
            <w:tcW w:w="1756" w:type="dxa"/>
            <w:gridSpan w:val="2"/>
          </w:tcPr>
          <w:p w14:paraId="408CA592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Estonian</w:t>
            </w:r>
          </w:p>
        </w:tc>
        <w:tc>
          <w:tcPr>
            <w:tcW w:w="1756" w:type="dxa"/>
            <w:gridSpan w:val="2"/>
          </w:tcPr>
          <w:p w14:paraId="6EB89672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Russian</w:t>
            </w:r>
          </w:p>
        </w:tc>
        <w:tc>
          <w:tcPr>
            <w:tcW w:w="1756" w:type="dxa"/>
            <w:gridSpan w:val="2"/>
          </w:tcPr>
          <w:p w14:paraId="3A708D66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Ethnicity</w:t>
            </w:r>
          </w:p>
        </w:tc>
        <w:tc>
          <w:tcPr>
            <w:tcW w:w="1756" w:type="dxa"/>
            <w:gridSpan w:val="2"/>
          </w:tcPr>
          <w:p w14:paraId="0AED50CF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Year</w:t>
            </w:r>
          </w:p>
        </w:tc>
        <w:tc>
          <w:tcPr>
            <w:tcW w:w="1756" w:type="dxa"/>
            <w:gridSpan w:val="2"/>
          </w:tcPr>
          <w:p w14:paraId="4D41C501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Year × Ethnicity</w:t>
            </w:r>
          </w:p>
        </w:tc>
      </w:tr>
      <w:tr w:rsidR="000B5499" w14:paraId="3F889006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0E3B9111" w14:textId="77777777" w:rsidR="000B5499" w:rsidRDefault="000B5499"/>
        </w:tc>
        <w:tc>
          <w:tcPr>
            <w:tcW w:w="878" w:type="dxa"/>
            <w:vMerge/>
          </w:tcPr>
          <w:p w14:paraId="1E38F50C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</w:tcPr>
          <w:p w14:paraId="0A1D85DC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M</w:t>
            </w:r>
          </w:p>
        </w:tc>
        <w:tc>
          <w:tcPr>
            <w:tcW w:w="878" w:type="dxa"/>
          </w:tcPr>
          <w:p w14:paraId="29A4FAC0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SD</w:t>
            </w:r>
          </w:p>
        </w:tc>
        <w:tc>
          <w:tcPr>
            <w:tcW w:w="878" w:type="dxa"/>
          </w:tcPr>
          <w:p w14:paraId="39346993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M</w:t>
            </w:r>
          </w:p>
        </w:tc>
        <w:tc>
          <w:tcPr>
            <w:tcW w:w="878" w:type="dxa"/>
          </w:tcPr>
          <w:p w14:paraId="2AC2ED5E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SD</w:t>
            </w:r>
          </w:p>
        </w:tc>
        <w:tc>
          <w:tcPr>
            <w:tcW w:w="878" w:type="dxa"/>
          </w:tcPr>
          <w:p w14:paraId="1318F522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F</w:t>
            </w:r>
          </w:p>
        </w:tc>
        <w:tc>
          <w:tcPr>
            <w:tcW w:w="878" w:type="dxa"/>
          </w:tcPr>
          <w:p w14:paraId="3F80E5D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w="878" w:type="dxa"/>
          </w:tcPr>
          <w:p w14:paraId="4EFEC77E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F</w:t>
            </w:r>
          </w:p>
        </w:tc>
        <w:tc>
          <w:tcPr>
            <w:tcW w:w="878" w:type="dxa"/>
          </w:tcPr>
          <w:p w14:paraId="1F380AD0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w="878" w:type="dxa"/>
          </w:tcPr>
          <w:p w14:paraId="44037F77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F</w:t>
            </w:r>
          </w:p>
        </w:tc>
        <w:tc>
          <w:tcPr>
            <w:tcW w:w="878" w:type="dxa"/>
          </w:tcPr>
          <w:p w14:paraId="553DD105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i/>
                <w:sz w:val="18"/>
              </w:rPr>
              <w:t>p</w:t>
            </w:r>
          </w:p>
        </w:tc>
      </w:tr>
      <w:tr w:rsidR="000B5499" w14:paraId="6530E8F4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7509FC89" w14:textId="77777777" w:rsidR="000B5499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878" w:type="dxa"/>
          </w:tcPr>
          <w:p w14:paraId="1B2A031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35C6463A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3.55</w:t>
            </w:r>
            <w:r>
              <w:rPr>
                <w:sz w:val="18"/>
                <w:vertAlign w:val="superscript"/>
              </w:rPr>
              <w:t>+</w:t>
            </w:r>
          </w:p>
        </w:tc>
        <w:tc>
          <w:tcPr>
            <w:tcW w:w="878" w:type="dxa"/>
          </w:tcPr>
          <w:p w14:paraId="1280FEF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0.51</w:t>
            </w:r>
          </w:p>
        </w:tc>
        <w:tc>
          <w:tcPr>
            <w:tcW w:w="878" w:type="dxa"/>
          </w:tcPr>
          <w:p w14:paraId="79C2A9D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2.92</w:t>
            </w:r>
          </w:p>
        </w:tc>
        <w:tc>
          <w:tcPr>
            <w:tcW w:w="878" w:type="dxa"/>
          </w:tcPr>
          <w:p w14:paraId="3BFA81F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0.66</w:t>
            </w:r>
          </w:p>
        </w:tc>
        <w:tc>
          <w:tcPr>
            <w:tcW w:w="878" w:type="dxa"/>
            <w:vMerge w:val="restart"/>
          </w:tcPr>
          <w:p w14:paraId="1458809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573.01</w:t>
            </w:r>
          </w:p>
        </w:tc>
        <w:tc>
          <w:tcPr>
            <w:tcW w:w="878" w:type="dxa"/>
            <w:vMerge w:val="restart"/>
          </w:tcPr>
          <w:p w14:paraId="224968D0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7546AC21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878" w:type="dxa"/>
            <w:vMerge w:val="restart"/>
          </w:tcPr>
          <w:p w14:paraId="33467383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0.62</w:t>
            </w:r>
          </w:p>
        </w:tc>
        <w:tc>
          <w:tcPr>
            <w:tcW w:w="878" w:type="dxa"/>
            <w:vMerge w:val="restart"/>
          </w:tcPr>
          <w:p w14:paraId="30CA364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2.64</w:t>
            </w:r>
          </w:p>
        </w:tc>
        <w:tc>
          <w:tcPr>
            <w:tcW w:w="878" w:type="dxa"/>
            <w:vMerge w:val="restart"/>
          </w:tcPr>
          <w:p w14:paraId="58919C95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0.10</w:t>
            </w:r>
          </w:p>
        </w:tc>
      </w:tr>
      <w:tr w:rsidR="000B5499" w14:paraId="3EDD8FCE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2065B6E7" w14:textId="77777777" w:rsidR="000B5499" w:rsidRDefault="000B5499"/>
        </w:tc>
        <w:tc>
          <w:tcPr>
            <w:tcW w:w="878" w:type="dxa"/>
          </w:tcPr>
          <w:p w14:paraId="792682B9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5571E5FF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3.50</w:t>
            </w:r>
            <w:r>
              <w:rPr>
                <w:sz w:val="18"/>
                <w:vertAlign w:val="superscript"/>
              </w:rPr>
              <w:t>+</w:t>
            </w:r>
          </w:p>
        </w:tc>
        <w:tc>
          <w:tcPr>
            <w:tcW w:w="878" w:type="dxa"/>
          </w:tcPr>
          <w:p w14:paraId="0D914BF8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</w:t>
            </w:r>
          </w:p>
        </w:tc>
        <w:tc>
          <w:tcPr>
            <w:tcW w:w="878" w:type="dxa"/>
          </w:tcPr>
          <w:p w14:paraId="1A1C24E4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2.95</w:t>
            </w:r>
          </w:p>
        </w:tc>
        <w:tc>
          <w:tcPr>
            <w:tcW w:w="878" w:type="dxa"/>
          </w:tcPr>
          <w:p w14:paraId="44BFF05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</w:t>
            </w:r>
          </w:p>
        </w:tc>
        <w:tc>
          <w:tcPr>
            <w:tcW w:w="878" w:type="dxa"/>
            <w:vMerge/>
          </w:tcPr>
          <w:p w14:paraId="1274AF60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178A0F6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BC3C1DA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0FF0A2C9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1DA1C3A7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1DB8DD8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499" w14:paraId="57BBCBFA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54E2A0BC" w14:textId="77777777" w:rsidR="000B5499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878" w:type="dxa"/>
          </w:tcPr>
          <w:p w14:paraId="153D306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6776ACA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2.51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4ECB0060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0.88</w:t>
            </w:r>
          </w:p>
        </w:tc>
        <w:tc>
          <w:tcPr>
            <w:tcW w:w="878" w:type="dxa"/>
          </w:tcPr>
          <w:p w14:paraId="5CDA3E10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1.90</w:t>
            </w:r>
          </w:p>
        </w:tc>
        <w:tc>
          <w:tcPr>
            <w:tcW w:w="878" w:type="dxa"/>
          </w:tcPr>
          <w:p w14:paraId="3B8BC7D3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</w:t>
            </w:r>
          </w:p>
        </w:tc>
        <w:tc>
          <w:tcPr>
            <w:tcW w:w="878" w:type="dxa"/>
            <w:vMerge w:val="restart"/>
          </w:tcPr>
          <w:p w14:paraId="7C7DC59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547.94</w:t>
            </w:r>
          </w:p>
        </w:tc>
        <w:tc>
          <w:tcPr>
            <w:tcW w:w="878" w:type="dxa"/>
            <w:vMerge w:val="restart"/>
          </w:tcPr>
          <w:p w14:paraId="001206D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4E9CA5B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21.93</w:t>
            </w:r>
          </w:p>
        </w:tc>
        <w:tc>
          <w:tcPr>
            <w:tcW w:w="878" w:type="dxa"/>
            <w:vMerge w:val="restart"/>
          </w:tcPr>
          <w:p w14:paraId="6A8F42B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15003689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40.57</w:t>
            </w:r>
          </w:p>
        </w:tc>
        <w:tc>
          <w:tcPr>
            <w:tcW w:w="878" w:type="dxa"/>
            <w:vMerge w:val="restart"/>
          </w:tcPr>
          <w:p w14:paraId="4438F27F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</w:tr>
      <w:tr w:rsidR="000B5499" w14:paraId="3133C0E7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5A8D077E" w14:textId="77777777" w:rsidR="000B5499" w:rsidRDefault="000B5499"/>
        </w:tc>
        <w:tc>
          <w:tcPr>
            <w:tcW w:w="878" w:type="dxa"/>
          </w:tcPr>
          <w:p w14:paraId="6F654629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1B41877C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2.91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3BF76BCD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1.04</w:t>
            </w:r>
          </w:p>
        </w:tc>
        <w:tc>
          <w:tcPr>
            <w:tcW w:w="878" w:type="dxa"/>
          </w:tcPr>
          <w:p w14:paraId="1DEF6374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1.83</w:t>
            </w:r>
          </w:p>
        </w:tc>
        <w:tc>
          <w:tcPr>
            <w:tcW w:w="878" w:type="dxa"/>
          </w:tcPr>
          <w:p w14:paraId="03C713AA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</w:t>
            </w:r>
          </w:p>
        </w:tc>
        <w:tc>
          <w:tcPr>
            <w:tcW w:w="878" w:type="dxa"/>
            <w:vMerge/>
          </w:tcPr>
          <w:p w14:paraId="074A0EEB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3F2AFCA7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F2B5DBE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DB84260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50D73C8F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C3B1223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499" w14:paraId="656EBA07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297C1EE2" w14:textId="77777777" w:rsidR="000B5499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878" w:type="dxa"/>
          </w:tcPr>
          <w:p w14:paraId="19B98A1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7DF33A7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2.91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7717DF11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1.01</w:t>
            </w:r>
          </w:p>
        </w:tc>
        <w:tc>
          <w:tcPr>
            <w:tcW w:w="878" w:type="dxa"/>
          </w:tcPr>
          <w:p w14:paraId="69D59392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3.12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418B46B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1.02</w:t>
            </w:r>
          </w:p>
        </w:tc>
        <w:tc>
          <w:tcPr>
            <w:tcW w:w="878" w:type="dxa"/>
            <w:vMerge w:val="restart"/>
          </w:tcPr>
          <w:p w14:paraId="1725C6C9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2.50</w:t>
            </w:r>
          </w:p>
        </w:tc>
        <w:tc>
          <w:tcPr>
            <w:tcW w:w="878" w:type="dxa"/>
            <w:vMerge w:val="restart"/>
          </w:tcPr>
          <w:p w14:paraId="1F47C5B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</w:t>
            </w:r>
          </w:p>
        </w:tc>
        <w:tc>
          <w:tcPr>
            <w:tcW w:w="878" w:type="dxa"/>
            <w:vMerge w:val="restart"/>
          </w:tcPr>
          <w:p w14:paraId="1F79D0C2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96.67</w:t>
            </w:r>
          </w:p>
        </w:tc>
        <w:tc>
          <w:tcPr>
            <w:tcW w:w="878" w:type="dxa"/>
            <w:vMerge w:val="restart"/>
          </w:tcPr>
          <w:p w14:paraId="1F4A67F0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0482244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16.48</w:t>
            </w:r>
          </w:p>
        </w:tc>
        <w:tc>
          <w:tcPr>
            <w:tcW w:w="878" w:type="dxa"/>
            <w:vMerge w:val="restart"/>
          </w:tcPr>
          <w:p w14:paraId="0FB6733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</w:tr>
      <w:tr w:rsidR="000B5499" w14:paraId="59025F52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63E38F75" w14:textId="77777777" w:rsidR="000B5499" w:rsidRDefault="000B5499"/>
        </w:tc>
        <w:tc>
          <w:tcPr>
            <w:tcW w:w="878" w:type="dxa"/>
          </w:tcPr>
          <w:p w14:paraId="2C037171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1B23D225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2.70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4841A3F7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0.90</w:t>
            </w:r>
          </w:p>
        </w:tc>
        <w:tc>
          <w:tcPr>
            <w:tcW w:w="878" w:type="dxa"/>
          </w:tcPr>
          <w:p w14:paraId="193C225C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2.60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32FEDEE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</w:t>
            </w:r>
          </w:p>
        </w:tc>
        <w:tc>
          <w:tcPr>
            <w:tcW w:w="878" w:type="dxa"/>
            <w:vMerge/>
          </w:tcPr>
          <w:p w14:paraId="76BA9963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F9B57C2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3582A3CA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FD24F07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722EA6CB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02C19F21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499" w14:paraId="7D5B9EDB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4B0FBEAF" w14:textId="77777777" w:rsidR="000B5499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878" w:type="dxa"/>
          </w:tcPr>
          <w:p w14:paraId="36130DA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13FF7D7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3.44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4B7DD24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0.49</w:t>
            </w:r>
          </w:p>
        </w:tc>
        <w:tc>
          <w:tcPr>
            <w:tcW w:w="878" w:type="dxa"/>
          </w:tcPr>
          <w:p w14:paraId="34F85AD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3.86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36C19F4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</w:t>
            </w:r>
          </w:p>
        </w:tc>
        <w:tc>
          <w:tcPr>
            <w:tcW w:w="878" w:type="dxa"/>
            <w:vMerge w:val="restart"/>
          </w:tcPr>
          <w:p w14:paraId="3D094BD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376.69</w:t>
            </w:r>
          </w:p>
        </w:tc>
        <w:tc>
          <w:tcPr>
            <w:tcW w:w="878" w:type="dxa"/>
            <w:vMerge w:val="restart"/>
          </w:tcPr>
          <w:p w14:paraId="28AECB59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54BBEC2C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65.83</w:t>
            </w:r>
          </w:p>
        </w:tc>
        <w:tc>
          <w:tcPr>
            <w:tcW w:w="878" w:type="dxa"/>
            <w:vMerge w:val="restart"/>
          </w:tcPr>
          <w:p w14:paraId="486041D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2FCA46CC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</w:t>
            </w:r>
          </w:p>
        </w:tc>
        <w:tc>
          <w:tcPr>
            <w:tcW w:w="878" w:type="dxa"/>
            <w:vMerge w:val="restart"/>
          </w:tcPr>
          <w:p w14:paraId="7E0ABF58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0.43</w:t>
            </w:r>
          </w:p>
        </w:tc>
      </w:tr>
      <w:tr w:rsidR="000B5499" w14:paraId="5E29FE7A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3EEA3C8F" w14:textId="77777777" w:rsidR="000B5499" w:rsidRDefault="000B5499"/>
        </w:tc>
        <w:tc>
          <w:tcPr>
            <w:tcW w:w="878" w:type="dxa"/>
          </w:tcPr>
          <w:p w14:paraId="3B21FD4F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21FFA4D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3.29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67642146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0.52</w:t>
            </w:r>
          </w:p>
        </w:tc>
        <w:tc>
          <w:tcPr>
            <w:tcW w:w="878" w:type="dxa"/>
          </w:tcPr>
          <w:p w14:paraId="075D71B8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3.68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26E059EA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0.53</w:t>
            </w:r>
          </w:p>
        </w:tc>
        <w:tc>
          <w:tcPr>
            <w:tcW w:w="878" w:type="dxa"/>
            <w:vMerge/>
          </w:tcPr>
          <w:p w14:paraId="07E63715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5DBE8A3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00787E0D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9885B1E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F1C4FAF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C29E459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499" w14:paraId="0CDA40FC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0C14677D" w14:textId="77777777" w:rsidR="000B5499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878" w:type="dxa"/>
          </w:tcPr>
          <w:p w14:paraId="05D2DFBC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05DDE10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2.22</w:t>
            </w:r>
            <w:r>
              <w:rPr>
                <w:sz w:val="18"/>
                <w:vertAlign w:val="superscript"/>
              </w:rPr>
              <w:t>+</w:t>
            </w:r>
          </w:p>
        </w:tc>
        <w:tc>
          <w:tcPr>
            <w:tcW w:w="878" w:type="dxa"/>
          </w:tcPr>
          <w:p w14:paraId="2C0F7A9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0.57</w:t>
            </w:r>
          </w:p>
        </w:tc>
        <w:tc>
          <w:tcPr>
            <w:tcW w:w="878" w:type="dxa"/>
          </w:tcPr>
          <w:p w14:paraId="68DE44D9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1.97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320424C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</w:t>
            </w:r>
          </w:p>
        </w:tc>
        <w:tc>
          <w:tcPr>
            <w:tcW w:w="878" w:type="dxa"/>
            <w:vMerge w:val="restart"/>
          </w:tcPr>
          <w:p w14:paraId="6404C2DC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238.71</w:t>
            </w:r>
          </w:p>
        </w:tc>
        <w:tc>
          <w:tcPr>
            <w:tcW w:w="878" w:type="dxa"/>
            <w:vMerge w:val="restart"/>
          </w:tcPr>
          <w:p w14:paraId="25B44B7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10BFCA08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7.33</w:t>
            </w:r>
          </w:p>
        </w:tc>
        <w:tc>
          <w:tcPr>
            <w:tcW w:w="878" w:type="dxa"/>
            <w:vMerge w:val="restart"/>
          </w:tcPr>
          <w:p w14:paraId="28B6586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0.007</w:t>
            </w:r>
          </w:p>
        </w:tc>
        <w:tc>
          <w:tcPr>
            <w:tcW w:w="878" w:type="dxa"/>
            <w:vMerge w:val="restart"/>
          </w:tcPr>
          <w:p w14:paraId="766ACD98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25.26</w:t>
            </w:r>
          </w:p>
        </w:tc>
        <w:tc>
          <w:tcPr>
            <w:tcW w:w="878" w:type="dxa"/>
            <w:vMerge w:val="restart"/>
          </w:tcPr>
          <w:p w14:paraId="7A5E406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</w:tr>
      <w:tr w:rsidR="000B5499" w14:paraId="22594F6A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2BFBBD9E" w14:textId="77777777" w:rsidR="000B5499" w:rsidRDefault="000B5499"/>
        </w:tc>
        <w:tc>
          <w:tcPr>
            <w:tcW w:w="878" w:type="dxa"/>
          </w:tcPr>
          <w:p w14:paraId="73A62778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484514F7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2.28</w:t>
            </w:r>
            <w:r>
              <w:rPr>
                <w:sz w:val="18"/>
                <w:vertAlign w:val="superscript"/>
              </w:rPr>
              <w:t>+</w:t>
            </w:r>
          </w:p>
        </w:tc>
        <w:tc>
          <w:tcPr>
            <w:tcW w:w="878" w:type="dxa"/>
          </w:tcPr>
          <w:p w14:paraId="1D4210A3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</w:t>
            </w:r>
          </w:p>
        </w:tc>
        <w:tc>
          <w:tcPr>
            <w:tcW w:w="878" w:type="dxa"/>
          </w:tcPr>
          <w:p w14:paraId="0A850CF1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1.79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2D4E3738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0.58</w:t>
            </w:r>
          </w:p>
        </w:tc>
        <w:tc>
          <w:tcPr>
            <w:tcW w:w="878" w:type="dxa"/>
            <w:vMerge/>
          </w:tcPr>
          <w:p w14:paraId="2CA925A1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7015537F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7D31304F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63174C98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0FE253D7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78B712CE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5499" w14:paraId="0912B594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 w:val="restart"/>
          </w:tcPr>
          <w:p w14:paraId="5748629C" w14:textId="77777777" w:rsidR="000B5499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878" w:type="dxa"/>
          </w:tcPr>
          <w:p w14:paraId="0EFBD0F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2020</w:t>
            </w:r>
          </w:p>
        </w:tc>
        <w:tc>
          <w:tcPr>
            <w:tcW w:w="878" w:type="dxa"/>
          </w:tcPr>
          <w:p w14:paraId="6D8D5D5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2.79</w:t>
            </w:r>
            <w:r>
              <w:rPr>
                <w:sz w:val="18"/>
                <w:vertAlign w:val="superscript"/>
              </w:rPr>
              <w:t>a</w:t>
            </w:r>
          </w:p>
        </w:tc>
        <w:tc>
          <w:tcPr>
            <w:tcW w:w="878" w:type="dxa"/>
          </w:tcPr>
          <w:p w14:paraId="6342ADD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</w:t>
            </w:r>
          </w:p>
        </w:tc>
        <w:tc>
          <w:tcPr>
            <w:tcW w:w="878" w:type="dxa"/>
          </w:tcPr>
          <w:p w14:paraId="101500A2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3.43</w:t>
            </w:r>
          </w:p>
        </w:tc>
        <w:tc>
          <w:tcPr>
            <w:tcW w:w="878" w:type="dxa"/>
          </w:tcPr>
          <w:p w14:paraId="10C5F84F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</w:t>
            </w:r>
          </w:p>
        </w:tc>
        <w:tc>
          <w:tcPr>
            <w:tcW w:w="878" w:type="dxa"/>
            <w:vMerge w:val="restart"/>
          </w:tcPr>
          <w:p w14:paraId="15D39DAF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695.11</w:t>
            </w:r>
          </w:p>
        </w:tc>
        <w:tc>
          <w:tcPr>
            <w:tcW w:w="878" w:type="dxa"/>
            <w:vMerge w:val="restart"/>
          </w:tcPr>
          <w:p w14:paraId="7254F1C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878" w:type="dxa"/>
            <w:vMerge w:val="restart"/>
          </w:tcPr>
          <w:p w14:paraId="3FCC49C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2.54</w:t>
            </w:r>
          </w:p>
        </w:tc>
        <w:tc>
          <w:tcPr>
            <w:tcW w:w="878" w:type="dxa"/>
            <w:vMerge w:val="restart"/>
          </w:tcPr>
          <w:p w14:paraId="1B36C264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</w:t>
            </w:r>
          </w:p>
        </w:tc>
        <w:tc>
          <w:tcPr>
            <w:tcW w:w="878" w:type="dxa"/>
            <w:vMerge w:val="restart"/>
          </w:tcPr>
          <w:p w14:paraId="1ECC362B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6.31</w:t>
            </w:r>
          </w:p>
        </w:tc>
        <w:tc>
          <w:tcPr>
            <w:tcW w:w="878" w:type="dxa"/>
            <w:vMerge w:val="restart"/>
          </w:tcPr>
          <w:p w14:paraId="1B46E02C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</w:t>
            </w:r>
          </w:p>
        </w:tc>
      </w:tr>
      <w:tr w:rsidR="000B5499" w14:paraId="7C0DAB40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dxa"/>
            <w:vMerge/>
          </w:tcPr>
          <w:p w14:paraId="2DCCAE15" w14:textId="77777777" w:rsidR="000B5499" w:rsidRDefault="000B5499"/>
        </w:tc>
        <w:tc>
          <w:tcPr>
            <w:tcW w:w="878" w:type="dxa"/>
          </w:tcPr>
          <w:p w14:paraId="203F21C4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2023</w:t>
            </w:r>
          </w:p>
        </w:tc>
        <w:tc>
          <w:tcPr>
            <w:tcW w:w="878" w:type="dxa"/>
          </w:tcPr>
          <w:p w14:paraId="30FF1048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2.67</w:t>
            </w:r>
            <w:r>
              <w:rPr>
                <w:sz w:val="18"/>
                <w:vertAlign w:val="superscript"/>
              </w:rPr>
              <w:t>b</w:t>
            </w:r>
          </w:p>
        </w:tc>
        <w:tc>
          <w:tcPr>
            <w:tcW w:w="878" w:type="dxa"/>
          </w:tcPr>
          <w:p w14:paraId="442056D9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0.77</w:t>
            </w:r>
          </w:p>
        </w:tc>
        <w:tc>
          <w:tcPr>
            <w:tcW w:w="878" w:type="dxa"/>
          </w:tcPr>
          <w:p w14:paraId="27B0A19E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3.46</w:t>
            </w:r>
          </w:p>
        </w:tc>
        <w:tc>
          <w:tcPr>
            <w:tcW w:w="878" w:type="dxa"/>
          </w:tcPr>
          <w:p w14:paraId="3E34FB9F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</w:t>
            </w:r>
          </w:p>
        </w:tc>
        <w:tc>
          <w:tcPr>
            <w:tcW w:w="878" w:type="dxa"/>
            <w:vMerge/>
          </w:tcPr>
          <w:p w14:paraId="11A5D8B5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2775858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5784F179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22309011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3C139F3D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8" w:type="dxa"/>
            <w:vMerge/>
          </w:tcPr>
          <w:p w14:paraId="57D0B070" w14:textId="77777777" w:rsidR="000B5499" w:rsidRDefault="000B5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36FAC0A" w14:textId="77777777" w:rsidR="000B5499" w:rsidRDefault="000B5499"/>
    <w:p w14:paraId="5E27C3CA" w14:textId="77777777" w:rsidR="000B5499" w:rsidRDefault="00000000">
      <w:r>
        <w:rPr>
          <w:i/>
          <w:sz w:val="16"/>
        </w:rPr>
        <w:t>Notes. The different superscripts (a, b) within a group's column indicate that the two waves' means differ significantly at p &lt; .05 by Welch's t-test; ⁺ indicates a marginal difference (p &lt; .10). M = mean composite score on the original Likert metric (after scale-inversion where applicable, so higher = more of the construct). SD = standard deviation. F = Type III ANOVA F-statistic. p = exact p-value. Cell Ns: Estonian 2020 ≈ 700, Estonian 2023 ≈ 870, Russian 2020 ≈ 600, Russian 2023 ≈ 520 (vary slightly by composite due to item-level missingness; see _anova_2x2_composites.tsv for exact cell Ns per composite).</w:t>
      </w:r>
    </w:p>
    <w:p w14:paraId="368EF327" w14:textId="77777777" w:rsidR="000B5499" w:rsidRDefault="00000000">
      <w:r>
        <w:rPr>
          <w:i/>
          <w:sz w:val="16"/>
        </w:rPr>
        <w:t>Caveats. SD: Primary Out-group: items differ across groups (Estonians rate Russian-speakers Q57/58/59_1; Russians rate Estonian-speakers Q57/58/59_2). The ethnicity main effect and interaction are on a mixed metric. SD: General Out-group: items differ across waves (3 items in 2020, 6 items in 2023). Year main effect and interaction confound year with item-set change.</w:t>
      </w:r>
    </w:p>
    <w:p w14:paraId="2512DFAF" w14:textId="77777777" w:rsidR="000B5499" w:rsidRDefault="000B5499"/>
    <w:p w14:paraId="601BFF1C" w14:textId="77777777" w:rsidR="000B5499" w:rsidRDefault="000B5499"/>
    <w:p w14:paraId="2D16BA67" w14:textId="77777777" w:rsidR="000B5499" w:rsidRDefault="00000000">
      <w:r>
        <w:rPr>
          <w:b/>
          <w:sz w:val="22"/>
        </w:rPr>
        <w:t>Table 2</w:t>
      </w:r>
    </w:p>
    <w:p w14:paraId="5BF9C41A" w14:textId="77777777" w:rsidR="000B5499" w:rsidRDefault="00000000">
      <w:r>
        <w:rPr>
          <w:i/>
        </w:rPr>
        <w:t>Simple-effect Cohen's d with 95% confidence intervals decomposing the 2 × 2 design. Between-group comparisons (Estonian vs. Russian) within each wave and within-group comparisons (2020 vs. 2023) within each group. Significant Year × Ethnicity interactions in Table 1 are decomposed by reading the within-group columns below.</w:t>
      </w:r>
    </w:p>
    <w:p w14:paraId="17E50C9D" w14:textId="77777777" w:rsidR="000B5499" w:rsidRDefault="000B5499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0B5499" w14:paraId="192FAE74" w14:textId="77777777" w:rsidTr="000B5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49219D7B" w14:textId="77777777" w:rsidR="000B5499" w:rsidRDefault="00000000">
            <w:pPr>
              <w:jc w:val="center"/>
            </w:pPr>
            <w:r>
              <w:rPr>
                <w:sz w:val="18"/>
              </w:rPr>
              <w:t>Outcomes</w:t>
            </w:r>
          </w:p>
        </w:tc>
        <w:tc>
          <w:tcPr>
            <w:tcW w:w="2108" w:type="dxa"/>
          </w:tcPr>
          <w:p w14:paraId="29A3453C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Between-group 2020</w:t>
            </w:r>
            <w:r>
              <w:rPr>
                <w:sz w:val="18"/>
              </w:rPr>
              <w:br/>
              <w:t>Estonian − Russian</w:t>
            </w:r>
          </w:p>
        </w:tc>
        <w:tc>
          <w:tcPr>
            <w:tcW w:w="2108" w:type="dxa"/>
          </w:tcPr>
          <w:p w14:paraId="77A3E88F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Between-group 2023</w:t>
            </w:r>
            <w:r>
              <w:rPr>
                <w:sz w:val="18"/>
              </w:rPr>
              <w:br/>
              <w:t>Estonian − Russian</w:t>
            </w:r>
          </w:p>
        </w:tc>
        <w:tc>
          <w:tcPr>
            <w:tcW w:w="2108" w:type="dxa"/>
          </w:tcPr>
          <w:p w14:paraId="661DA704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Within Estonian</w:t>
            </w:r>
            <w:r>
              <w:rPr>
                <w:sz w:val="18"/>
              </w:rPr>
              <w:br/>
              <w:t>2023 − 2020</w:t>
            </w:r>
          </w:p>
        </w:tc>
        <w:tc>
          <w:tcPr>
            <w:tcW w:w="2108" w:type="dxa"/>
          </w:tcPr>
          <w:p w14:paraId="1A9D220B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Within Russian</w:t>
            </w:r>
            <w:r>
              <w:rPr>
                <w:sz w:val="18"/>
              </w:rPr>
              <w:br/>
              <w:t>2023 − 2020</w:t>
            </w:r>
          </w:p>
        </w:tc>
      </w:tr>
      <w:tr w:rsidR="000B5499" w14:paraId="56BC94B6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544634B" w14:textId="77777777" w:rsidR="000B5499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2108" w:type="dxa"/>
          </w:tcPr>
          <w:p w14:paraId="3BA21534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+1.081***</w:t>
            </w:r>
            <w:r>
              <w:rPr>
                <w:sz w:val="17"/>
              </w:rPr>
              <w:br/>
              <w:t>[+0.964, +1.197]</w:t>
            </w:r>
          </w:p>
        </w:tc>
        <w:tc>
          <w:tcPr>
            <w:tcW w:w="2108" w:type="dxa"/>
          </w:tcPr>
          <w:p w14:paraId="54144761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+0.792***</w:t>
            </w:r>
            <w:r>
              <w:rPr>
                <w:sz w:val="17"/>
              </w:rPr>
              <w:br/>
              <w:t>[+0.679, +0.905]</w:t>
            </w:r>
          </w:p>
        </w:tc>
        <w:tc>
          <w:tcPr>
            <w:tcW w:w="2108" w:type="dxa"/>
          </w:tcPr>
          <w:p w14:paraId="290325C3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-0.095ns</w:t>
            </w:r>
            <w:r>
              <w:rPr>
                <w:sz w:val="17"/>
              </w:rPr>
              <w:br/>
              <w:t>[-0.195, +0.004]</w:t>
            </w:r>
          </w:p>
        </w:tc>
        <w:tc>
          <w:tcPr>
            <w:tcW w:w="2108" w:type="dxa"/>
          </w:tcPr>
          <w:p w14:paraId="78CC754A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+0.038ns</w:t>
            </w:r>
            <w:r>
              <w:rPr>
                <w:sz w:val="17"/>
              </w:rPr>
              <w:br/>
              <w:t>[-0.079, +0.156]</w:t>
            </w:r>
          </w:p>
        </w:tc>
      </w:tr>
      <w:tr w:rsidR="000B5499" w14:paraId="4897FB71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1BA1FB7C" w14:textId="77777777" w:rsidR="000B5499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2108" w:type="dxa"/>
          </w:tcPr>
          <w:p w14:paraId="30399712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+0.735***</w:t>
            </w:r>
            <w:r>
              <w:rPr>
                <w:sz w:val="17"/>
              </w:rPr>
              <w:br/>
              <w:t>[+0.620, +0.850]</w:t>
            </w:r>
          </w:p>
        </w:tc>
        <w:tc>
          <w:tcPr>
            <w:tcW w:w="2108" w:type="dxa"/>
          </w:tcPr>
          <w:p w14:paraId="2C654AE8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+1.183***</w:t>
            </w:r>
            <w:r>
              <w:rPr>
                <w:sz w:val="17"/>
              </w:rPr>
              <w:br/>
              <w:t>[+1.061, +1.305]</w:t>
            </w:r>
          </w:p>
        </w:tc>
        <w:tc>
          <w:tcPr>
            <w:tcW w:w="2108" w:type="dxa"/>
          </w:tcPr>
          <w:p w14:paraId="44F7770E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+0.416***</w:t>
            </w:r>
            <w:r>
              <w:rPr>
                <w:sz w:val="17"/>
              </w:rPr>
              <w:br/>
              <w:t>[+0.313, +0.520]</w:t>
            </w:r>
          </w:p>
        </w:tc>
        <w:tc>
          <w:tcPr>
            <w:tcW w:w="2108" w:type="dxa"/>
          </w:tcPr>
          <w:p w14:paraId="649F2695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-0.078ns</w:t>
            </w:r>
            <w:r>
              <w:rPr>
                <w:sz w:val="17"/>
              </w:rPr>
              <w:br/>
              <w:t>[-0.199, +0.043]</w:t>
            </w:r>
          </w:p>
        </w:tc>
      </w:tr>
      <w:tr w:rsidR="000B5499" w14:paraId="69AAE262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09960BAD" w14:textId="77777777" w:rsidR="000B5499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2108" w:type="dxa"/>
          </w:tcPr>
          <w:p w14:paraId="5C4A955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-0.207***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[-0.319, -0.096]</w:t>
            </w:r>
          </w:p>
        </w:tc>
        <w:tc>
          <w:tcPr>
            <w:tcW w:w="2108" w:type="dxa"/>
          </w:tcPr>
          <w:p w14:paraId="3450B607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+0.108*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[-0.001, +0.218]</w:t>
            </w:r>
          </w:p>
        </w:tc>
        <w:tc>
          <w:tcPr>
            <w:tcW w:w="2108" w:type="dxa"/>
          </w:tcPr>
          <w:p w14:paraId="1763E896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-0.225***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[-0.326, -0.124]</w:t>
            </w:r>
          </w:p>
        </w:tc>
        <w:tc>
          <w:tcPr>
            <w:tcW w:w="2108" w:type="dxa"/>
          </w:tcPr>
          <w:p w14:paraId="6EDE8540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lastRenderedPageBreak/>
              <w:t>-0.564***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[-0.685, -0.443]</w:t>
            </w:r>
          </w:p>
        </w:tc>
      </w:tr>
      <w:tr w:rsidR="000B5499" w14:paraId="1D152F11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BBBA649" w14:textId="77777777" w:rsidR="000B5499" w:rsidRDefault="00000000">
            <w:r>
              <w:rPr>
                <w:sz w:val="18"/>
              </w:rPr>
              <w:lastRenderedPageBreak/>
              <w:t>Comparative Opportunity Assessment</w:t>
            </w:r>
          </w:p>
        </w:tc>
        <w:tc>
          <w:tcPr>
            <w:tcW w:w="2108" w:type="dxa"/>
          </w:tcPr>
          <w:p w14:paraId="48E732CF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-0.793***</w:t>
            </w:r>
            <w:r>
              <w:rPr>
                <w:sz w:val="17"/>
              </w:rPr>
              <w:br/>
              <w:t>[-0.907, -0.679]</w:t>
            </w:r>
          </w:p>
        </w:tc>
        <w:tc>
          <w:tcPr>
            <w:tcW w:w="2108" w:type="dxa"/>
          </w:tcPr>
          <w:p w14:paraId="68950571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-0.735***</w:t>
            </w:r>
            <w:r>
              <w:rPr>
                <w:sz w:val="17"/>
              </w:rPr>
              <w:br/>
              <w:t>[-0.848, -0.622]</w:t>
            </w:r>
          </w:p>
        </w:tc>
        <w:tc>
          <w:tcPr>
            <w:tcW w:w="2108" w:type="dxa"/>
          </w:tcPr>
          <w:p w14:paraId="37FE9C83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-0.300***</w:t>
            </w:r>
            <w:r>
              <w:rPr>
                <w:sz w:val="17"/>
              </w:rPr>
              <w:br/>
              <w:t>[-0.402, -0.199]</w:t>
            </w:r>
          </w:p>
        </w:tc>
        <w:tc>
          <w:tcPr>
            <w:tcW w:w="2108" w:type="dxa"/>
          </w:tcPr>
          <w:p w14:paraId="3DC72CF9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-0.338***</w:t>
            </w:r>
            <w:r>
              <w:rPr>
                <w:sz w:val="17"/>
              </w:rPr>
              <w:br/>
              <w:t>[-0.456, -0.220]</w:t>
            </w:r>
          </w:p>
        </w:tc>
      </w:tr>
      <w:tr w:rsidR="000B5499" w14:paraId="67F957D0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50BB5426" w14:textId="77777777" w:rsidR="000B5499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2108" w:type="dxa"/>
          </w:tcPr>
          <w:p w14:paraId="3D981FC1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+0.436***</w:t>
            </w:r>
            <w:r>
              <w:rPr>
                <w:sz w:val="17"/>
              </w:rPr>
              <w:br/>
              <w:t>[+0.326, +0.546]</w:t>
            </w:r>
          </w:p>
        </w:tc>
        <w:tc>
          <w:tcPr>
            <w:tcW w:w="2108" w:type="dxa"/>
          </w:tcPr>
          <w:p w14:paraId="100702D0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+0.783***</w:t>
            </w:r>
            <w:r>
              <w:rPr>
                <w:sz w:val="17"/>
              </w:rPr>
              <w:br/>
              <w:t>[+0.669, +0.897]</w:t>
            </w:r>
          </w:p>
        </w:tc>
        <w:tc>
          <w:tcPr>
            <w:tcW w:w="2108" w:type="dxa"/>
          </w:tcPr>
          <w:p w14:paraId="780394EA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+0.090ns</w:t>
            </w:r>
            <w:r>
              <w:rPr>
                <w:sz w:val="17"/>
              </w:rPr>
              <w:br/>
              <w:t>[-0.011, +0.190]</w:t>
            </w:r>
          </w:p>
        </w:tc>
        <w:tc>
          <w:tcPr>
            <w:tcW w:w="2108" w:type="dxa"/>
          </w:tcPr>
          <w:p w14:paraId="3C74CD6B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-0.320***</w:t>
            </w:r>
            <w:r>
              <w:rPr>
                <w:sz w:val="17"/>
              </w:rPr>
              <w:br/>
              <w:t>[-0.439, -0.201]</w:t>
            </w:r>
          </w:p>
        </w:tc>
      </w:tr>
      <w:tr w:rsidR="000B5499" w14:paraId="1B07D4FD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8" w:type="dxa"/>
          </w:tcPr>
          <w:p w14:paraId="63AAAD83" w14:textId="77777777" w:rsidR="000B5499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2108" w:type="dxa"/>
          </w:tcPr>
          <w:p w14:paraId="25CF6A7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-1.004***</w:t>
            </w:r>
            <w:r>
              <w:rPr>
                <w:sz w:val="17"/>
              </w:rPr>
              <w:br/>
              <w:t>[-1.121, -0.887]</w:t>
            </w:r>
          </w:p>
        </w:tc>
        <w:tc>
          <w:tcPr>
            <w:tcW w:w="2108" w:type="dxa"/>
          </w:tcPr>
          <w:p w14:paraId="2133EB9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-1.138***</w:t>
            </w:r>
            <w:r>
              <w:rPr>
                <w:sz w:val="17"/>
              </w:rPr>
              <w:br/>
              <w:t>[-1.257, -1.020]</w:t>
            </w:r>
          </w:p>
        </w:tc>
        <w:tc>
          <w:tcPr>
            <w:tcW w:w="2108" w:type="dxa"/>
          </w:tcPr>
          <w:p w14:paraId="5FE2A918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-0.152**</w:t>
            </w:r>
            <w:r>
              <w:rPr>
                <w:sz w:val="17"/>
              </w:rPr>
              <w:br/>
              <w:t>[-0.253, -0.051]</w:t>
            </w:r>
          </w:p>
        </w:tc>
        <w:tc>
          <w:tcPr>
            <w:tcW w:w="2108" w:type="dxa"/>
          </w:tcPr>
          <w:p w14:paraId="157DED5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+0.042ns</w:t>
            </w:r>
            <w:r>
              <w:rPr>
                <w:sz w:val="17"/>
              </w:rPr>
              <w:br/>
              <w:t>[-0.077, +0.161]</w:t>
            </w:r>
          </w:p>
        </w:tc>
      </w:tr>
    </w:tbl>
    <w:p w14:paraId="1682BD56" w14:textId="77777777" w:rsidR="000B5499" w:rsidRDefault="000B5499"/>
    <w:p w14:paraId="30A65466" w14:textId="77777777" w:rsidR="000B5499" w:rsidRDefault="00000000">
      <w:r>
        <w:rPr>
          <w:i/>
          <w:sz w:val="16"/>
        </w:rPr>
        <w:t>Notes. d = Cohen's d using the root-mean-square SD denominator: d = (M₁ − M₂) / √[(SD₁² + SD₂²) / 2]. 95% CIs use the asymptotic standard error: SE(d) = √[(n₁ + n₂) / (n₁n₂) + d² / (2(n₁ + n₂ − 2))]. p-values from Welch's t-tests; significance: *** p &lt; .001, ** p &lt; .01, * p &lt; .05, ns = not significant. Between-group columns: positive d means Estonians &gt; Russians on the composite (after any scale-inversion noted in Table 1). Within-group columns: positive d means 2023 &gt; 2020 within that group.</w:t>
      </w:r>
    </w:p>
    <w:p w14:paraId="7800A3D2" w14:textId="77777777" w:rsidR="000B5499" w:rsidRDefault="00000000">
      <w:r>
        <w:rPr>
          <w:i/>
          <w:sz w:val="16"/>
        </w:rPr>
        <w:t>How to read Tables 1 and 2 together. Table 1 reports the omnibus 2 × 2 ANOVA: main effect of ethnicity (averaged across years), main effect of year (averaged across groups), and the Year × Ethnicity interaction (whether the gap changed). Table 2 decomposes each significant interaction into its constituent simple effects: which group changed, in which direction, by how much. Interactions flagged as significant in Table 1 should be interpreted by reading the two within-group columns of Table 2 for that variable. If those two within-group d's have different signs or substantially different magnitudes, the interaction describes asymmetric divergence between groups.</w:t>
      </w:r>
    </w:p>
    <w:p w14:paraId="4B99962A" w14:textId="77777777" w:rsidR="000B5499" w:rsidRDefault="000B5499"/>
    <w:p w14:paraId="5E22B23B" w14:textId="77777777" w:rsidR="000B5499" w:rsidRDefault="000B5499"/>
    <w:p w14:paraId="741C6DA1" w14:textId="77777777" w:rsidR="000B5499" w:rsidRDefault="00000000">
      <w:r>
        <w:rPr>
          <w:b/>
          <w:sz w:val="22"/>
        </w:rPr>
        <w:t>Table 3</w:t>
      </w:r>
    </w:p>
    <w:p w14:paraId="01A69E6C" w14:textId="77777777" w:rsidR="000B5499" w:rsidRDefault="00000000">
      <w:r>
        <w:rPr>
          <w:i/>
        </w:rPr>
        <w:t>Levene's tests of variance homogeneity (Brown–Forsythe / median-centered variant) comparing within-group response variance across waves. While the ANOVA in Table 1 tests whether MEAN scores differ, Levene's tests whether the SPREAD of scores within a group changed from 2020 to 2023 — i.e., whether the community became internally more heterogeneous (polarization) or more homogeneous (convergence). Reported separately per group, parallel to Bilali, Çelik &amp; Ok (2014, p. 7).</w:t>
      </w:r>
    </w:p>
    <w:p w14:paraId="70183C1F" w14:textId="77777777" w:rsidR="000B5499" w:rsidRDefault="000B5499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0B5499" w14:paraId="67FA2253" w14:textId="77777777" w:rsidTr="000B5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6CC75584" w14:textId="77777777" w:rsidR="000B5499" w:rsidRDefault="00000000">
            <w:pPr>
              <w:jc w:val="center"/>
            </w:pPr>
            <w:r>
              <w:rPr>
                <w:sz w:val="18"/>
              </w:rPr>
              <w:t>Outcomes</w:t>
            </w:r>
          </w:p>
        </w:tc>
        <w:tc>
          <w:tcPr>
            <w:tcW w:w="3513" w:type="dxa"/>
          </w:tcPr>
          <w:p w14:paraId="36288FAE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Estonian Levene</w:t>
            </w:r>
            <w:r>
              <w:rPr>
                <w:sz w:val="18"/>
              </w:rPr>
              <w:br/>
              <w:t>F, p,  var(2020) → var(2023)</w:t>
            </w:r>
          </w:p>
        </w:tc>
        <w:tc>
          <w:tcPr>
            <w:tcW w:w="3513" w:type="dxa"/>
          </w:tcPr>
          <w:p w14:paraId="4D1CE140" w14:textId="77777777" w:rsidR="000B54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Russian Levene</w:t>
            </w:r>
            <w:r>
              <w:rPr>
                <w:sz w:val="18"/>
              </w:rPr>
              <w:br/>
              <w:t>F, p,  var(2020) → var(2023)</w:t>
            </w:r>
          </w:p>
        </w:tc>
      </w:tr>
      <w:tr w:rsidR="000B5499" w14:paraId="11DB328D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0203AE56" w14:textId="77777777" w:rsidR="000B5499" w:rsidRDefault="00000000">
            <w:r>
              <w:rPr>
                <w:sz w:val="18"/>
              </w:rPr>
              <w:t>Superordinate Identity</w:t>
            </w:r>
          </w:p>
        </w:tc>
        <w:tc>
          <w:tcPr>
            <w:tcW w:w="3513" w:type="dxa"/>
          </w:tcPr>
          <w:p w14:paraId="6243C719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5.62, p = 0.018    0.257 → 0.362 ↑</w:t>
            </w:r>
          </w:p>
        </w:tc>
        <w:tc>
          <w:tcPr>
            <w:tcW w:w="3513" w:type="dxa"/>
          </w:tcPr>
          <w:p w14:paraId="5D39EA37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22.97, p = 0.00    0.436 → 0.622 ↑</w:t>
            </w:r>
          </w:p>
        </w:tc>
      </w:tr>
      <w:tr w:rsidR="000B5499" w14:paraId="3A2D80EA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212EF449" w14:textId="77777777" w:rsidR="000B5499" w:rsidRDefault="00000000">
            <w:r>
              <w:rPr>
                <w:sz w:val="18"/>
              </w:rPr>
              <w:t>SD: Primary Out-group</w:t>
            </w:r>
          </w:p>
        </w:tc>
        <w:tc>
          <w:tcPr>
            <w:tcW w:w="3513" w:type="dxa"/>
          </w:tcPr>
          <w:p w14:paraId="215E5CA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10.44, p = 0.001    0.780 → 1.073 ↑</w:t>
            </w:r>
          </w:p>
        </w:tc>
        <w:tc>
          <w:tcPr>
            <w:tcW w:w="3513" w:type="dxa"/>
          </w:tcPr>
          <w:p w14:paraId="3C162F9D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1.35, p = 0.24    0.633 → 0.595 ↓</w:t>
            </w:r>
          </w:p>
        </w:tc>
      </w:tr>
      <w:tr w:rsidR="000B5499" w14:paraId="56644AA6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7EB7538A" w14:textId="77777777" w:rsidR="000B5499" w:rsidRDefault="00000000">
            <w:r>
              <w:rPr>
                <w:sz w:val="18"/>
              </w:rPr>
              <w:t>SD: General Out-group</w:t>
            </w:r>
          </w:p>
        </w:tc>
        <w:tc>
          <w:tcPr>
            <w:tcW w:w="3513" w:type="dxa"/>
          </w:tcPr>
          <w:p w14:paraId="5A0CE0B9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2.80, p = 0.094    1.020 → 0.803 ↓</w:t>
            </w:r>
          </w:p>
        </w:tc>
        <w:tc>
          <w:tcPr>
            <w:tcW w:w="3513" w:type="dxa"/>
          </w:tcPr>
          <w:p w14:paraId="3B160255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24.13, p = 0.00    1.032 → 0.652 ↓</w:t>
            </w:r>
          </w:p>
        </w:tc>
      </w:tr>
      <w:tr w:rsidR="000B5499" w14:paraId="1ED01808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60909EFD" w14:textId="77777777" w:rsidR="000B5499" w:rsidRDefault="00000000">
            <w:r>
              <w:rPr>
                <w:sz w:val="18"/>
              </w:rPr>
              <w:t>Comparative Opportunity Assessment</w:t>
            </w:r>
          </w:p>
        </w:tc>
        <w:tc>
          <w:tcPr>
            <w:tcW w:w="3513" w:type="dxa"/>
          </w:tcPr>
          <w:p w14:paraId="27304433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0.75, p = 0.39    0.244 → 0.268 ↑</w:t>
            </w:r>
          </w:p>
        </w:tc>
        <w:tc>
          <w:tcPr>
            <w:tcW w:w="3513" w:type="dxa"/>
          </w:tcPr>
          <w:p w14:paraId="01B52EC6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1.39, p = 0.24    0.315 → 0.284 ↓</w:t>
            </w:r>
          </w:p>
        </w:tc>
      </w:tr>
      <w:tr w:rsidR="000B5499" w14:paraId="48410EF4" w14:textId="77777777" w:rsidTr="000B5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3036A3EE" w14:textId="77777777" w:rsidR="000B5499" w:rsidRDefault="00000000">
            <w:r>
              <w:rPr>
                <w:sz w:val="18"/>
              </w:rPr>
              <w:t>Belief in Inevitable Conflict</w:t>
            </w:r>
          </w:p>
        </w:tc>
        <w:tc>
          <w:tcPr>
            <w:tcW w:w="3513" w:type="dxa"/>
          </w:tcPr>
          <w:p w14:paraId="3B3BB4B5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20.21, p = 0.00    0.325 → 0.447 ↑</w:t>
            </w:r>
          </w:p>
        </w:tc>
        <w:tc>
          <w:tcPr>
            <w:tcW w:w="3513" w:type="dxa"/>
          </w:tcPr>
          <w:p w14:paraId="7C905606" w14:textId="77777777" w:rsidR="000B54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= 0.01, p = 0.93    0.334 → 0.341 ↑</w:t>
            </w:r>
          </w:p>
        </w:tc>
      </w:tr>
      <w:tr w:rsidR="000B5499" w14:paraId="5C023C5F" w14:textId="77777777" w:rsidTr="000B5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3" w:type="dxa"/>
          </w:tcPr>
          <w:p w14:paraId="02E77A57" w14:textId="77777777" w:rsidR="000B5499" w:rsidRDefault="00000000">
            <w:r>
              <w:rPr>
                <w:sz w:val="18"/>
              </w:rPr>
              <w:t>Minority Inclusion Support</w:t>
            </w:r>
          </w:p>
        </w:tc>
        <w:tc>
          <w:tcPr>
            <w:tcW w:w="3513" w:type="dxa"/>
          </w:tcPr>
          <w:p w14:paraId="054D0AF7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11.01, p = 0.00    0.485 → 0.587 ↑</w:t>
            </w:r>
          </w:p>
        </w:tc>
        <w:tc>
          <w:tcPr>
            <w:tcW w:w="3513" w:type="dxa"/>
          </w:tcPr>
          <w:p w14:paraId="77AA516A" w14:textId="77777777" w:rsidR="000B549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= 0.68, p = 0.41    0.342 → 0.356 ↑</w:t>
            </w:r>
          </w:p>
        </w:tc>
      </w:tr>
    </w:tbl>
    <w:p w14:paraId="5CD2FE39" w14:textId="77777777" w:rsidR="000B5499" w:rsidRDefault="000B5499"/>
    <w:p w14:paraId="256FB843" w14:textId="77777777" w:rsidR="000B5499" w:rsidRDefault="00000000">
      <w:r>
        <w:rPr>
          <w:i/>
          <w:sz w:val="16"/>
        </w:rPr>
        <w:t>Note. Levene's tests use the median-centered (Brown–Forsythe) version, which is more robust to non-normality than the mean-centered original. var(2020) → var(2023) shows the within-group variance at each wave; ↑ = increased dispersion (community fragmenting on this attitude); ↓ = decreased dispersion (community converging). p &lt; .05 indicates a statistically reliable change in within-group variance between waves. Significant variance increases on Superordinate Identity (Russian), Belief in Inevitable Conflict (Estonian), SD: Primary (Estonian), and Minority Inclusion Support (Estonian) are the documented §25 / §28 / §33 polarization findings.</w:t>
      </w:r>
    </w:p>
    <w:p w14:paraId="49FC96DD" w14:textId="77777777" w:rsidR="000B5499" w:rsidRDefault="00000000">
      <w:pPr>
        <w:rPr>
          <w:i/>
          <w:sz w:val="16"/>
        </w:rPr>
      </w:pPr>
      <w:r>
        <w:rPr>
          <w:i/>
          <w:sz w:val="16"/>
        </w:rPr>
        <w:t xml:space="preserve">How Tables 1, 2, and 3 work together. Table 1 tests whether group means differ. Table 2 decomposes those mean differences into simple-effect Cohen's d. Table 3 tests whether the within-group spread of responses changed — a substantively distinct finding from any mean comparison. A composite can show ns mean change with significant variance change (e.g., the §29 / §33 framing: "the community didn't move on average, but it polarized"); conversely, a composite can show large mean change with stable variance (uniform shift, no polarization). The three tables together cover the four possible </w:t>
      </w:r>
      <w:proofErr w:type="gramStart"/>
      <w:r>
        <w:rPr>
          <w:i/>
          <w:sz w:val="16"/>
        </w:rPr>
        <w:t>mean</w:t>
      </w:r>
      <w:proofErr w:type="gramEnd"/>
      <w:r>
        <w:rPr>
          <w:i/>
          <w:sz w:val="16"/>
        </w:rPr>
        <w:t xml:space="preserve"> × variance combinations.</w:t>
      </w:r>
    </w:p>
    <w:p w14:paraId="5C24760E" w14:textId="77777777" w:rsidR="00E2127E" w:rsidRDefault="00E2127E">
      <w:pPr>
        <w:rPr>
          <w:i/>
          <w:sz w:val="16"/>
        </w:rPr>
      </w:pPr>
    </w:p>
    <w:p w14:paraId="64FAB678" w14:textId="77777777" w:rsidR="00E2127E" w:rsidRDefault="00E2127E">
      <w:pPr>
        <w:rPr>
          <w:i/>
          <w:sz w:val="16"/>
        </w:rPr>
      </w:pPr>
    </w:p>
    <w:p w14:paraId="35DAA757" w14:textId="77777777" w:rsidR="00E2127E" w:rsidRDefault="00E2127E">
      <w:pPr>
        <w:rPr>
          <w:i/>
          <w:sz w:val="16"/>
        </w:rPr>
      </w:pPr>
    </w:p>
    <w:p w14:paraId="6950E793" w14:textId="77777777" w:rsidR="00E2127E" w:rsidRPr="00E2127E" w:rsidRDefault="00E2127E" w:rsidP="00E2127E">
      <w:pPr>
        <w:rPr>
          <w:iCs/>
        </w:rPr>
      </w:pPr>
      <w:r w:rsidRPr="00E2127E">
        <w:rPr>
          <w:iCs/>
        </w:rPr>
        <w:lastRenderedPageBreak/>
        <w:t>d: how big is the difference in standardized terms (comparable across composites with different scales)</w:t>
      </w:r>
    </w:p>
    <w:p w14:paraId="75A4E1A1" w14:textId="5FD0E02C" w:rsidR="00E2127E" w:rsidRDefault="00E2127E" w:rsidP="00E2127E">
      <w:pPr>
        <w:rPr>
          <w:iCs/>
        </w:rPr>
      </w:pPr>
      <w:r w:rsidRPr="00E2127E">
        <w:rPr>
          <w:iCs/>
        </w:rPr>
        <w:t>B₁: how big is the difference in the original measurement units</w:t>
      </w:r>
    </w:p>
    <w:p w14:paraId="183B5F0E" w14:textId="6AEEF846" w:rsidR="00E2127E" w:rsidRDefault="00E2127E" w:rsidP="00E2127E">
      <w:pPr>
        <w:rPr>
          <w:iCs/>
        </w:rPr>
      </w:pPr>
      <w:r w:rsidRPr="00E2127E">
        <w:rPr>
          <w:iCs/>
        </w:rPr>
        <w:t>B₃</w:t>
      </w:r>
      <w:r>
        <w:rPr>
          <w:iCs/>
        </w:rPr>
        <w:t xml:space="preserve">: </w:t>
      </w:r>
      <w:r w:rsidRPr="00E2127E">
        <w:rPr>
          <w:iCs/>
        </w:rPr>
        <w:t>whether contact's protective (or amplifying) effect on the attitude shifted over time. That's the moderation, not the main effect.</w:t>
      </w:r>
    </w:p>
    <w:p w14:paraId="58C6671A" w14:textId="08960168" w:rsidR="00E2127E" w:rsidRDefault="00E2127E" w:rsidP="00E2127E">
      <w:pPr>
        <w:rPr>
          <w:iCs/>
        </w:rPr>
      </w:pPr>
      <w:r w:rsidRPr="00E2127E">
        <w:rPr>
          <w:iCs/>
        </w:rPr>
        <w:t>B₄</w:t>
      </w:r>
      <w:r>
        <w:rPr>
          <w:iCs/>
        </w:rPr>
        <w:t xml:space="preserve">: </w:t>
      </w:r>
      <w:r w:rsidRPr="00E2127E">
        <w:rPr>
          <w:iCs/>
        </w:rPr>
        <w:t xml:space="preserve">whether language has its own association with the composite, after </w:t>
      </w:r>
      <w:proofErr w:type="spellStart"/>
      <w:r w:rsidRPr="00E2127E">
        <w:rPr>
          <w:iCs/>
        </w:rPr>
        <w:t>partialing</w:t>
      </w:r>
      <w:proofErr w:type="spellEnd"/>
      <w:r w:rsidRPr="00E2127E">
        <w:rPr>
          <w:iCs/>
        </w:rPr>
        <w:t xml:space="preserve"> out contact and the year × contact interaction.</w:t>
      </w:r>
    </w:p>
    <w:p w14:paraId="74E5B257" w14:textId="77777777" w:rsidR="00E2127E" w:rsidRDefault="00E2127E" w:rsidP="00E2127E">
      <w:pPr>
        <w:rPr>
          <w:iCs/>
        </w:rPr>
      </w:pPr>
    </w:p>
    <w:p w14:paraId="7CAB5314" w14:textId="7B784C14" w:rsidR="00E2127E" w:rsidRDefault="00E2127E" w:rsidP="00E2127E">
      <w:pPr>
        <w:rPr>
          <w:rFonts w:ascii="Segoe UI" w:hAnsi="Segoe UI" w:cs="Segoe UI"/>
          <w:color w:val="0A0A0A"/>
          <w:sz w:val="21"/>
          <w:szCs w:val="21"/>
          <w:shd w:val="clear" w:color="auto" w:fill="FDFDFC"/>
        </w:rPr>
      </w:pPr>
      <w:r>
        <w:rPr>
          <w:rFonts w:ascii="Segoe UI" w:hAnsi="Segoe UI" w:cs="Segoe UI"/>
          <w:color w:val="0A0A0A"/>
          <w:sz w:val="21"/>
          <w:szCs w:val="21"/>
          <w:shd w:val="clear" w:color="auto" w:fill="FDFDFC"/>
        </w:rPr>
        <w:t>To test whether language affects the impact of contact, you'd need a Language × Contact interaction term — which we did NOT include in script 88.</w:t>
      </w:r>
    </w:p>
    <w:p w14:paraId="28942F95" w14:textId="66D482CA" w:rsidR="00C878A2" w:rsidRDefault="00C878A2" w:rsidP="00E2127E">
      <w:pPr>
        <w:rPr>
          <w:rFonts w:ascii="Segoe UI" w:hAnsi="Segoe UI" w:cs="Segoe UI"/>
          <w:color w:val="0A0A0A"/>
          <w:sz w:val="21"/>
          <w:szCs w:val="21"/>
          <w:shd w:val="clear" w:color="auto" w:fill="FDFDFC"/>
        </w:rPr>
      </w:pPr>
    </w:p>
    <w:p w14:paraId="32FAC056" w14:textId="77777777" w:rsidR="00E2127E" w:rsidRPr="00E2127E" w:rsidRDefault="00E2127E" w:rsidP="00E2127E">
      <w:pPr>
        <w:rPr>
          <w:iCs/>
        </w:rPr>
      </w:pPr>
    </w:p>
    <w:p w14:paraId="2B959630" w14:textId="65D293F3" w:rsidR="00E2127E" w:rsidRPr="00E2127E" w:rsidRDefault="00E2127E" w:rsidP="00E2127E">
      <w:pPr>
        <w:rPr>
          <w:iCs/>
        </w:rPr>
      </w:pPr>
      <w:r w:rsidRPr="00E2127E">
        <w:rPr>
          <w:iCs/>
        </w:rPr>
        <w:t>These are easy to conflate verbally. The fix is to be careful about which interaction is being tested:</w:t>
      </w:r>
    </w:p>
    <w:p w14:paraId="24AF7160" w14:textId="77777777" w:rsidR="00E2127E" w:rsidRPr="00E2127E" w:rsidRDefault="00E2127E" w:rsidP="00E2127E">
      <w:pPr>
        <w:pStyle w:val="ListParagraph"/>
        <w:numPr>
          <w:ilvl w:val="0"/>
          <w:numId w:val="10"/>
        </w:numPr>
        <w:rPr>
          <w:rFonts w:hint="eastAsia"/>
          <w:iCs/>
        </w:rPr>
      </w:pPr>
      <w:r w:rsidRPr="00E2127E">
        <w:rPr>
          <w:rFonts w:hint="eastAsia"/>
          <w:b/>
          <w:bCs/>
          <w:iCs/>
        </w:rPr>
        <w:t xml:space="preserve">Year </w:t>
      </w:r>
      <w:r w:rsidRPr="00E2127E">
        <w:rPr>
          <w:rFonts w:hint="eastAsia"/>
          <w:b/>
          <w:bCs/>
          <w:iCs/>
        </w:rPr>
        <w:t>×</w:t>
      </w:r>
      <w:r w:rsidRPr="00E2127E">
        <w:rPr>
          <w:rFonts w:hint="eastAsia"/>
          <w:b/>
          <w:bCs/>
          <w:iCs/>
        </w:rPr>
        <w:t xml:space="preserve"> Contact</w:t>
      </w:r>
      <w:r w:rsidRPr="00E2127E">
        <w:rPr>
          <w:rFonts w:hint="eastAsia"/>
          <w:iCs/>
        </w:rPr>
        <w:t xml:space="preserve"> (in script 88, tested): does contact's effect on the attitude change between waves? </w:t>
      </w:r>
      <w:r w:rsidRPr="00E2127E">
        <w:rPr>
          <w:rFonts w:hint="eastAsia"/>
          <w:iCs/>
        </w:rPr>
        <w:t>→</w:t>
      </w:r>
      <w:r w:rsidRPr="00E2127E">
        <w:rPr>
          <w:rFonts w:hint="eastAsia"/>
          <w:iCs/>
        </w:rPr>
        <w:t xml:space="preserve"> about the year dimension</w:t>
      </w:r>
    </w:p>
    <w:p w14:paraId="799D43B7" w14:textId="77777777" w:rsidR="00E2127E" w:rsidRPr="00E2127E" w:rsidRDefault="00E2127E" w:rsidP="00E2127E">
      <w:pPr>
        <w:pStyle w:val="ListParagraph"/>
        <w:numPr>
          <w:ilvl w:val="0"/>
          <w:numId w:val="10"/>
        </w:numPr>
        <w:rPr>
          <w:rFonts w:hint="eastAsia"/>
          <w:iCs/>
        </w:rPr>
      </w:pPr>
      <w:r w:rsidRPr="00E2127E">
        <w:rPr>
          <w:rFonts w:hint="eastAsia"/>
          <w:b/>
          <w:bCs/>
          <w:iCs/>
        </w:rPr>
        <w:t xml:space="preserve">Contact </w:t>
      </w:r>
      <w:r w:rsidRPr="00E2127E">
        <w:rPr>
          <w:rFonts w:hint="eastAsia"/>
          <w:b/>
          <w:bCs/>
          <w:iCs/>
        </w:rPr>
        <w:t>×</w:t>
      </w:r>
      <w:r w:rsidRPr="00E2127E">
        <w:rPr>
          <w:rFonts w:hint="eastAsia"/>
          <w:b/>
          <w:bCs/>
          <w:iCs/>
        </w:rPr>
        <w:t xml:space="preserve"> Language</w:t>
      </w:r>
      <w:r w:rsidRPr="00E2127E">
        <w:rPr>
          <w:rFonts w:hint="eastAsia"/>
          <w:iCs/>
        </w:rPr>
        <w:t xml:space="preserve"> (not yet tested): does contact's effect on the attitude depend on language level? </w:t>
      </w:r>
      <w:r w:rsidRPr="00E2127E">
        <w:rPr>
          <w:rFonts w:hint="eastAsia"/>
          <w:iCs/>
        </w:rPr>
        <w:t>→</w:t>
      </w:r>
      <w:r w:rsidRPr="00E2127E">
        <w:rPr>
          <w:rFonts w:hint="eastAsia"/>
          <w:iCs/>
        </w:rPr>
        <w:t xml:space="preserve"> about cross-predictor interaction</w:t>
      </w:r>
    </w:p>
    <w:p w14:paraId="213BCD80" w14:textId="77777777" w:rsidR="00E2127E" w:rsidRPr="00E2127E" w:rsidRDefault="00E2127E" w:rsidP="00E2127E">
      <w:pPr>
        <w:pStyle w:val="ListParagraph"/>
        <w:numPr>
          <w:ilvl w:val="0"/>
          <w:numId w:val="10"/>
        </w:numPr>
        <w:rPr>
          <w:iCs/>
        </w:rPr>
      </w:pPr>
      <w:r w:rsidRPr="00E2127E">
        <w:rPr>
          <w:b/>
          <w:bCs/>
          <w:iCs/>
        </w:rPr>
        <w:t>Year × Language</w:t>
      </w:r>
      <w:r w:rsidRPr="00E2127E">
        <w:rPr>
          <w:iCs/>
        </w:rPr>
        <w:t xml:space="preserve"> (also not tested, separate from above): does language's effect on the attitude change between waves?</w:t>
      </w:r>
    </w:p>
    <w:p w14:paraId="0709E99C" w14:textId="0E47714F" w:rsidR="00E2127E" w:rsidRDefault="00E2127E" w:rsidP="00E2127E">
      <w:pPr>
        <w:pStyle w:val="ListParagraph"/>
        <w:numPr>
          <w:ilvl w:val="0"/>
          <w:numId w:val="10"/>
        </w:numPr>
        <w:rPr>
          <w:iCs/>
        </w:rPr>
      </w:pPr>
      <w:r w:rsidRPr="00E2127E">
        <w:rPr>
          <w:b/>
          <w:bCs/>
          <w:iCs/>
        </w:rPr>
        <w:t>Year × Contact × Language</w:t>
      </w:r>
      <w:r w:rsidRPr="00E2127E">
        <w:rPr>
          <w:iCs/>
        </w:rPr>
        <w:t xml:space="preserve"> (three-way, also not tested): does the year × contact interaction itself depend on language?</w:t>
      </w:r>
    </w:p>
    <w:p w14:paraId="0259466F" w14:textId="0539FB1C" w:rsidR="00EA089B" w:rsidRPr="00EA089B" w:rsidRDefault="00EA089B" w:rsidP="00EA089B">
      <w:pPr>
        <w:rPr>
          <w:iCs/>
        </w:rPr>
      </w:pPr>
      <w:r w:rsidRPr="00EA089B">
        <w:rPr>
          <w:iCs/>
        </w:rPr>
        <w:t>All three numbers describe the same comparison, but they're standardized differently:</w:t>
      </w:r>
    </w:p>
    <w:p w14:paraId="35EFD423" w14:textId="77777777" w:rsidR="00EA089B" w:rsidRPr="00EA089B" w:rsidRDefault="00EA089B" w:rsidP="00EA089B">
      <w:pPr>
        <w:pStyle w:val="ListParagraph"/>
        <w:numPr>
          <w:ilvl w:val="0"/>
          <w:numId w:val="11"/>
        </w:numPr>
        <w:rPr>
          <w:iCs/>
        </w:rPr>
      </w:pPr>
      <w:r w:rsidRPr="00EA089B">
        <w:rPr>
          <w:iCs/>
        </w:rPr>
        <w:t>B: not standardized — raw scale.</w:t>
      </w:r>
    </w:p>
    <w:p w14:paraId="4CAA04F4" w14:textId="77777777" w:rsidR="00EA089B" w:rsidRPr="00EA089B" w:rsidRDefault="00EA089B" w:rsidP="00EA089B">
      <w:pPr>
        <w:pStyle w:val="ListParagraph"/>
        <w:numPr>
          <w:ilvl w:val="0"/>
          <w:numId w:val="11"/>
        </w:numPr>
        <w:rPr>
          <w:iCs/>
        </w:rPr>
      </w:pPr>
      <w:r w:rsidRPr="00EA089B">
        <w:rPr>
          <w:iCs/>
        </w:rPr>
        <w:t>β: scaled by the SD of the outcome only.</w:t>
      </w:r>
    </w:p>
    <w:p w14:paraId="03F07A8C" w14:textId="318CE500" w:rsidR="00EA089B" w:rsidRDefault="00EA089B" w:rsidP="00EA089B">
      <w:pPr>
        <w:pStyle w:val="ListParagraph"/>
        <w:numPr>
          <w:ilvl w:val="0"/>
          <w:numId w:val="11"/>
        </w:numPr>
        <w:rPr>
          <w:iCs/>
        </w:rPr>
      </w:pPr>
      <w:r w:rsidRPr="00EA089B">
        <w:rPr>
          <w:iCs/>
        </w:rPr>
        <w:t>d: scaled by the SD of the outcome within the comparison groups (a different denominator).</w:t>
      </w:r>
    </w:p>
    <w:p w14:paraId="74C9E163" w14:textId="77777777" w:rsidR="00EA089B" w:rsidRDefault="00EA089B" w:rsidP="00EA089B">
      <w:pPr>
        <w:rPr>
          <w:iCs/>
        </w:rPr>
      </w:pPr>
      <w:r w:rsidRPr="00EA089B">
        <w:rPr>
          <w:iCs/>
        </w:rPr>
        <w:t>A full APA-7-compliant sentence combining all three would be:</w:t>
      </w:r>
    </w:p>
    <w:p w14:paraId="2F5A1F1F" w14:textId="3A4499B7" w:rsidR="00EA089B" w:rsidRDefault="00EA089B" w:rsidP="00EA089B">
      <w:pPr>
        <w:rPr>
          <w:iCs/>
        </w:rPr>
      </w:pPr>
      <w:r w:rsidRPr="00EA089B">
        <w:rPr>
          <w:iCs/>
        </w:rPr>
        <w:t>"Russian respondents reported lower Belief in Inevitable Conflict in 2023 than in 2020, with a mean shift of −0.19 points on the 1–4 scale (B = −0.186, SE = 0.035, p &lt; .001; β = −0.16; d = −0.32, 95% CI [−0.44, −0.20])."</w:t>
      </w:r>
    </w:p>
    <w:p w14:paraId="219861B9" w14:textId="77777777" w:rsidR="00EA089B" w:rsidRPr="00EA089B" w:rsidRDefault="00EA089B" w:rsidP="00EA089B">
      <w:pPr>
        <w:rPr>
          <w:iCs/>
        </w:rPr>
      </w:pPr>
      <w:r w:rsidRPr="00EA089B">
        <w:rPr>
          <w:iCs/>
        </w:rPr>
        <w:t>Which one to lead with depends on what you're emphasizing</w:t>
      </w:r>
    </w:p>
    <w:p w14:paraId="6DE9B359" w14:textId="77777777" w:rsidR="00EA089B" w:rsidRPr="00EA089B" w:rsidRDefault="00EA089B" w:rsidP="00EA089B">
      <w:pPr>
        <w:pStyle w:val="ListParagraph"/>
        <w:numPr>
          <w:ilvl w:val="0"/>
          <w:numId w:val="12"/>
        </w:numPr>
        <w:rPr>
          <w:iCs/>
        </w:rPr>
      </w:pPr>
      <w:r w:rsidRPr="00EA089B">
        <w:rPr>
          <w:b/>
          <w:bCs/>
          <w:iCs/>
        </w:rPr>
        <w:t>Lead with B</w:t>
      </w:r>
      <w:r w:rsidRPr="00EA089B">
        <w:rPr>
          <w:iCs/>
        </w:rPr>
        <w:t xml:space="preserve"> if you want readers to picture the survey items and the response scale — "Russians shifted from average score ~2 to ~1.8 on the conflict-belief composite." Bilali's style.</w:t>
      </w:r>
    </w:p>
    <w:p w14:paraId="39923F90" w14:textId="77777777" w:rsidR="00EA089B" w:rsidRPr="00EA089B" w:rsidRDefault="00EA089B" w:rsidP="00EA089B">
      <w:pPr>
        <w:pStyle w:val="ListParagraph"/>
        <w:numPr>
          <w:ilvl w:val="0"/>
          <w:numId w:val="12"/>
        </w:numPr>
        <w:rPr>
          <w:iCs/>
        </w:rPr>
      </w:pPr>
      <w:r w:rsidRPr="00EA089B">
        <w:rPr>
          <w:b/>
          <w:bCs/>
          <w:iCs/>
        </w:rPr>
        <w:t>Lead with d</w:t>
      </w:r>
      <w:r w:rsidRPr="00EA089B">
        <w:rPr>
          <w:iCs/>
        </w:rPr>
        <w:t xml:space="preserve"> if you want to invoke Cohen's interpretive benchmarks — "a small-to-medium effect size of d = −0.32." Standard intergroup-psychology style.</w:t>
      </w:r>
    </w:p>
    <w:p w14:paraId="2FB2CB7A" w14:textId="3A9D563F" w:rsidR="00EA089B" w:rsidRDefault="00EA089B" w:rsidP="00EA089B">
      <w:pPr>
        <w:pStyle w:val="ListParagraph"/>
        <w:numPr>
          <w:ilvl w:val="0"/>
          <w:numId w:val="12"/>
        </w:numPr>
        <w:rPr>
          <w:iCs/>
        </w:rPr>
      </w:pPr>
      <w:r w:rsidRPr="00EA089B">
        <w:rPr>
          <w:b/>
          <w:bCs/>
          <w:iCs/>
        </w:rPr>
        <w:t>Lead with β</w:t>
      </w:r>
      <w:r w:rsidRPr="00EA089B">
        <w:rPr>
          <w:iCs/>
        </w:rPr>
        <w:t xml:space="preserve"> if you're comparing across composites with different scales in the same sentence — "Russians' Belief in Inevitable Conflict (β = −0.16) shifted more than their Minority Inclusion Support (β = +0.03)." This is the cross-composite framing.</w:t>
      </w:r>
    </w:p>
    <w:p w14:paraId="14000605" w14:textId="77777777" w:rsidR="00EA089B" w:rsidRDefault="00EA089B" w:rsidP="00EA089B">
      <w:pPr>
        <w:rPr>
          <w:iCs/>
        </w:rPr>
      </w:pPr>
    </w:p>
    <w:p w14:paraId="2467DEEA" w14:textId="77777777" w:rsidR="00EA089B" w:rsidRDefault="00EA089B" w:rsidP="00EA089B">
      <w:pPr>
        <w:rPr>
          <w:iCs/>
        </w:rPr>
      </w:pPr>
    </w:p>
    <w:p w14:paraId="1BD86321" w14:textId="33584EF5" w:rsidR="00EA089B" w:rsidRPr="00EA089B" w:rsidRDefault="00EA089B" w:rsidP="00EA089B">
      <w:pPr>
        <w:rPr>
          <w:iCs/>
        </w:rPr>
      </w:pPr>
      <w:proofErr w:type="gramStart"/>
      <w:r w:rsidRPr="00EA089B">
        <w:rPr>
          <w:iCs/>
        </w:rPr>
        <w:lastRenderedPageBreak/>
        <w:t>So</w:t>
      </w:r>
      <w:proofErr w:type="gramEnd"/>
      <w:r w:rsidRPr="00EA089B">
        <w:rPr>
          <w:iCs/>
        </w:rPr>
        <w:t xml:space="preserve"> a thesis-natural version would be:</w:t>
      </w:r>
    </w:p>
    <w:p w14:paraId="0C4418E9" w14:textId="3FDF81B6" w:rsidR="00EA089B" w:rsidRPr="00EA089B" w:rsidRDefault="00EA089B" w:rsidP="00EA089B">
      <w:pPr>
        <w:rPr>
          <w:iCs/>
        </w:rPr>
      </w:pPr>
      <w:r w:rsidRPr="00EA089B">
        <w:rPr>
          <w:iCs/>
        </w:rPr>
        <w:t>"Russian respondents reported lower Belief in Inevitable Conflict in 2023 than in 2020, d = −0.32, 95% CI [−0.44, −0.20], p &lt; .001 (raw mean shift = −0.19 points on the 1–4 scale)."</w:t>
      </w:r>
    </w:p>
    <w:p w14:paraId="10E62556" w14:textId="2B7C6555" w:rsidR="00EA089B" w:rsidRPr="00EA089B" w:rsidRDefault="00EA089B" w:rsidP="00EA089B">
      <w:pPr>
        <w:rPr>
          <w:iCs/>
        </w:rPr>
      </w:pPr>
      <w:r w:rsidRPr="00EA089B">
        <w:rPr>
          <w:iCs/>
        </w:rPr>
        <w:t>That's cleanest. β can stay in the regression tables but doesn't need to appear in inline narrative sentences.</w:t>
      </w:r>
    </w:p>
    <w:p w14:paraId="34A509A9" w14:textId="77777777" w:rsidR="00EA089B" w:rsidRPr="00EA089B" w:rsidRDefault="00EA089B" w:rsidP="00EA089B">
      <w:pPr>
        <w:rPr>
          <w:iCs/>
        </w:rPr>
      </w:pPr>
    </w:p>
    <w:sectPr w:rsidR="00EA089B" w:rsidRPr="00EA089B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C6DCB"/>
    <w:multiLevelType w:val="hybridMultilevel"/>
    <w:tmpl w:val="CB5C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F4C14"/>
    <w:multiLevelType w:val="hybridMultilevel"/>
    <w:tmpl w:val="CF2A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D23E2"/>
    <w:multiLevelType w:val="hybridMultilevel"/>
    <w:tmpl w:val="995E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06799">
    <w:abstractNumId w:val="8"/>
  </w:num>
  <w:num w:numId="2" w16cid:durableId="979771230">
    <w:abstractNumId w:val="6"/>
  </w:num>
  <w:num w:numId="3" w16cid:durableId="1349679927">
    <w:abstractNumId w:val="5"/>
  </w:num>
  <w:num w:numId="4" w16cid:durableId="1725520448">
    <w:abstractNumId w:val="4"/>
  </w:num>
  <w:num w:numId="5" w16cid:durableId="323748408">
    <w:abstractNumId w:val="7"/>
  </w:num>
  <w:num w:numId="6" w16cid:durableId="40132578">
    <w:abstractNumId w:val="3"/>
  </w:num>
  <w:num w:numId="7" w16cid:durableId="1672022872">
    <w:abstractNumId w:val="2"/>
  </w:num>
  <w:num w:numId="8" w16cid:durableId="1328635083">
    <w:abstractNumId w:val="1"/>
  </w:num>
  <w:num w:numId="9" w16cid:durableId="1061750276">
    <w:abstractNumId w:val="0"/>
  </w:num>
  <w:num w:numId="10" w16cid:durableId="2041398638">
    <w:abstractNumId w:val="11"/>
  </w:num>
  <w:num w:numId="11" w16cid:durableId="130252753">
    <w:abstractNumId w:val="10"/>
  </w:num>
  <w:num w:numId="12" w16cid:durableId="1652833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499"/>
    <w:rsid w:val="0015074B"/>
    <w:rsid w:val="0029639D"/>
    <w:rsid w:val="00326F90"/>
    <w:rsid w:val="00685A85"/>
    <w:rsid w:val="00AA1D8D"/>
    <w:rsid w:val="00B47730"/>
    <w:rsid w:val="00C662C2"/>
    <w:rsid w:val="00C878A2"/>
    <w:rsid w:val="00CB0664"/>
    <w:rsid w:val="00E2127E"/>
    <w:rsid w:val="00EA08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05C5D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3</cp:revision>
  <dcterms:created xsi:type="dcterms:W3CDTF">2013-12-23T23:15:00Z</dcterms:created>
  <dcterms:modified xsi:type="dcterms:W3CDTF">2026-05-12T15:23:00Z</dcterms:modified>
  <cp:category/>
</cp:coreProperties>
</file>