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30"/>
        </w:rPr>
        <w:t>2 × 2 Factorial ANOVA — Ethnicity × Year — for Non-Contact Composites</w:t>
      </w:r>
    </w:p>
    <w:p>
      <w:r>
        <w:rPr>
          <w:i/>
          <w:sz w:val="20"/>
        </w:rPr>
        <w:t>Each composite was regressed on ethnicity (Estonian / Russian), year (2020 / 2023), and their interaction in a between-subjects 2 × 2 factorial ANOVA. Type III sums of squares are used because cell Ns are unbalanced. Partial eta-squared (η²p) is reported alongside F and p; conventional benchmarks are .01 = small, .06 = medium, .14 = large. The interaction effect tests directly whether the between-group gap changed from 2020 to 2023 — the asymmetric-divergence claim. Levene's tests of variance homogeneity, comparing within-group response variance across years, are reported separately, parallel to the variance findings reported in Bilali, Çelik, &amp; Ok (2014).</w:t>
      </w:r>
    </w:p>
    <w:p>
      <w:r>
        <w:rPr>
          <w:i/>
          <w:sz w:val="18"/>
        </w:rPr>
        <w:t>Design note. Both ethnicity and year are between-subjects factors: the Estonian Integration Monitor is a repeated cross-section, with different respondents drawn at each wave from the same target population. No paired or repeated-measures machinery applies.</w:t>
      </w:r>
    </w:p>
    <w:p/>
    <w:p>
      <w:r>
        <w:rPr>
          <w:b/>
          <w:sz w:val="24"/>
        </w:rPr>
        <w:t>Table 1. Cell means, standard deviations, and 2 × 2 ANOVA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18"/>
              </w:rPr>
              <w:t>Cell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18"/>
              </w:rPr>
              <w:t>Est. M (SD), n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18"/>
              </w:rPr>
              <w:t>Rus. M (SD), n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18"/>
              </w:rPr>
              <w:t>Ethnicity</w:t>
              <w:br/>
              <w:t>F, p, η²p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18"/>
              </w:rPr>
              <w:t>Year</w:t>
              <w:br/>
              <w:t>F, p, η²p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18"/>
              </w:rPr>
              <w:t>Eth. × Year</w:t>
              <w:br/>
              <w:t>F, p, η²p</w:t>
            </w:r>
          </w:p>
        </w:tc>
      </w:tr>
      <w:tr>
        <w:tc>
          <w:tcPr>
            <w:tcW w:type="dxa" w:w="1457"/>
          </w:tcPr>
          <w:p>
            <w:r>
              <w:rPr>
                <w:sz w:val="18"/>
              </w:rPr>
            </w:r>
            <w:r>
              <w:rPr>
                <w:sz w:val="18"/>
              </w:rPr>
              <w:t>Superordinate Identity (inv.)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LIC (2020)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3.55 (0.51), n = 701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2.92 (0.66), n = 602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573.01, &lt; .0001 ***, .176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0.25, 0.616 ns, .000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2.64, 0.104 ns, .001</w:t>
            </w:r>
          </w:p>
        </w:tc>
      </w:tr>
      <w:tr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HIC (2023)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3.50 (0.60), n = 865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2.95 (0.79), n = 517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57"/>
          </w:tcPr>
          <w:p>
            <w:r>
              <w:rPr>
                <w:sz w:val="18"/>
              </w:rPr>
            </w:r>
            <w:r>
              <w:rPr>
                <w:sz w:val="18"/>
              </w:rPr>
              <w:t>SD: Primary Out-group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LIC (2020)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2.51 (0.88), n = 665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1.90 (0.80), n = 587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547.94, &lt; .0001 ***, .178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21.93, &lt; .0001 ***, .009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40.57, &lt; .0001 ***, .016</w:t>
            </w:r>
          </w:p>
        </w:tc>
      </w:tr>
      <w:tr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HIC (2023)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2.91 (1.04), n = 810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1.83 (0.77), n = 477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57"/>
          </w:tcPr>
          <w:p>
            <w:r>
              <w:rPr>
                <w:sz w:val="18"/>
              </w:rPr>
            </w:r>
            <w:r>
              <w:rPr>
                <w:sz w:val="18"/>
              </w:rPr>
              <w:t>SD: General Out-group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LIC (2020)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2.91 (1.01), n = 679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3.12 (1.02), n = 578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2.50, 0.114 ns, .001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96.67, &lt; .0001 ***, .036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16.48, &lt; .0001 ***, .006</w:t>
            </w:r>
          </w:p>
        </w:tc>
      </w:tr>
      <w:tr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HIC (2023)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2.70 (0.90), n = 855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2.60 (0.81), n = 516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57"/>
          </w:tcPr>
          <w:p>
            <w:r>
              <w:rPr>
                <w:sz w:val="18"/>
              </w:rPr>
            </w:r>
            <w:r>
              <w:rPr>
                <w:sz w:val="18"/>
              </w:rPr>
              <w:t>Comparative Opportunity Assessment (inv.)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LIC (2020)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3.44 (0.49), n = 679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3.86 (0.56), n = 603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376.69, &lt; .0001 ***, .125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65.83, &lt; .0001 ***, .024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0.63, 0.426 ns, .000</w:t>
            </w:r>
          </w:p>
        </w:tc>
      </w:tr>
      <w:tr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HIC (2023)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3.29 (0.52), n = 844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3.68 (0.53), n = 518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57"/>
          </w:tcPr>
          <w:p>
            <w:r>
              <w:rPr>
                <w:sz w:val="18"/>
              </w:rPr>
            </w:r>
            <w:r>
              <w:rPr>
                <w:sz w:val="18"/>
              </w:rPr>
              <w:t>Belief in Inevitable Conflict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LIC (2020)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2.22 (0.57), n = 697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1.97 (0.58), n = 601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238.71, &lt; .0001 ***, .082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7.33, 0.007 **, .003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25.26, &lt; .0001 ***, .009</w:t>
            </w:r>
          </w:p>
        </w:tc>
      </w:tr>
      <w:tr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HIC (2023)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2.28 (0.67), n = 855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1.79 (0.58), n = 507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57"/>
          </w:tcPr>
          <w:p>
            <w:r>
              <w:rPr>
                <w:sz w:val="18"/>
              </w:rPr>
            </w:r>
            <w:r>
              <w:rPr>
                <w:sz w:val="18"/>
              </w:rPr>
              <w:t>Minority Inclusion Support (inv.)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LIC (2020)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2.79 (0.70), n = 678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3.43 (0.59), n = 583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695.11, &lt; .0001 ***, .211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2.54, 0.111 ns, .001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6.31, 0.012 *, .002</w:t>
            </w:r>
          </w:p>
        </w:tc>
      </w:tr>
      <w:tr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HIC (2023)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2.67 (0.77), n = 844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3.46 (0.60), n = 505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  <w:tc>
          <w:tcPr>
            <w:tcW w:type="dxa" w:w="1457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sz w:val="16"/>
        </w:rPr>
        <w:t>Note. M = mean composite score on the original Likert metric (after scale-inversion where indicated, so that higher = more of the construct). SD = standard deviation, n = pairwise-deletion cell N. F = Type III ANOVA F-statistic, p = exact p-value, η²p = partial eta-squared. Significance: *** p &lt; .001, ** p &lt; .01, * p &lt; .05, ns = not significant. "(inv.)" marks composites whose raw scale was inverted for display direction; the inversion does not change effect sizes or p-values but flips the sign of the cell means relative to the raw scale.</w:t>
      </w:r>
    </w:p>
    <w:p/>
    <w:p>
      <w:r>
        <w:rPr>
          <w:b/>
          <w:sz w:val="24"/>
        </w:rPr>
        <w:t>Caveats on specific composites</w:t>
      </w:r>
    </w:p>
    <w:p>
      <w:r>
        <w:rPr>
          <w:b/>
          <w:sz w:val="20"/>
        </w:rPr>
        <w:t xml:space="preserve">SD: Primary Out-group. </w:t>
      </w:r>
      <w:r>
        <w:rPr>
          <w:sz w:val="20"/>
        </w:rPr>
        <w:t>Items differ by group (Estonians rate Russian-speakers; Russians rate Estonian-speakers). The ethnicity main effect and ethnicity × year interaction are on a mixed metric.</w:t>
      </w:r>
    </w:p>
    <w:p>
      <w:r>
        <w:rPr>
          <w:b/>
          <w:sz w:val="20"/>
        </w:rPr>
        <w:t xml:space="preserve">SD: General Out-group. </w:t>
      </w:r>
      <w:r>
        <w:rPr>
          <w:sz w:val="20"/>
        </w:rPr>
        <w:t>Item set differs across waves (3 items in 2020, 6 in 2023). Year main effect and interaction confound year with item-set change.</w:t>
      </w:r>
    </w:p>
    <w:p/>
    <w:p>
      <w:r>
        <w:rPr>
          <w:b/>
          <w:sz w:val="24"/>
        </w:rPr>
        <w:t>Within-group variance comparisons (Levene's test, 2020 vs 2023)</w:t>
      </w:r>
    </w:p>
    <w:p>
      <w:r>
        <w:rPr>
          <w:i/>
          <w:sz w:val="18"/>
        </w:rPr>
        <w:t>Per Bilali, Çelik &amp; Ok (2014), variance comparisons across waves within each group test whether the heightened intergroup context produced more homogeneous reactions (strong-situation hypothesis) or more heterogeneous reactions (within-group polarization). The Russian community shows the second pattern on Superordinate Identity and the Estonian community shows it on Belief in Inevitable Conflict — see Decision log §29, §33.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8"/>
              </w:rPr>
              <w:t>Estonian Levene</w:t>
              <w:br/>
              <w:t>F, p, var(2020) → var(2023)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8"/>
              </w:rPr>
              <w:t>Russian Levene</w:t>
              <w:br/>
              <w:t>F, p, var(2020) → var(2023)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Superordinate Identity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 = 5.62, p = 0.018 *    0.257 → 0.362 ↑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 = 22.97, p = &lt; .0001 ***    0.436 → 0.622 ↑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SD: Primary Out-group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 = 10.44, p = 0.001 **    0.780 → 1.073 ↑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 = 1.35, p = 0.245 ns    0.634 → 0.595 ↓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SD: General Out-group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 = 2.80, p = 0.094 ns    1.019 → 0.803 ↓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 = 24.13, p = &lt; .0001 ***    1.032 → 0.652 ↓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Comparative Opportunity Assessment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 = 0.75, p = 0.388 ns    0.244 → 0.268 ↑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 = 1.39, p = 0.239 ns    0.315 → 0.284 ↓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Belief in Inevitable Conflict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 = 20.21, p = &lt; .0001 ***    0.325 → 0.447 ↑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 = 0.01, p = 0.934 ns    0.334 → 0.341 ↑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Minority Inclusion Support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 = 11.01, p = 0.0009 ***    0.485 → 0.587 ↑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 = 0.68, p = 0.409 ns    0.342 → 0.357 ↑</w:t>
            </w:r>
          </w:p>
        </w:tc>
      </w:tr>
    </w:tbl>
    <w:p/>
    <w:p>
      <w:r>
        <w:rPr>
          <w:i/>
          <w:sz w:val="16"/>
        </w:rPr>
        <w:t>Notes. Levene's tests use the median-centered (Brown–Forsythe) version, which is more robust to non-normal distributions than the mean-centered original. var(2020) → var(2023) shows the within-group variance at each wave; ↑ = increased dispersion (community fragmenting on this attitude); ↓ = decreased dispersion (community converging). Same convention as Bilali et al. (2014).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