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0"/>
        </w:rPr>
        <w:t>Bivariate Regression of Each Outcome on Out-group Contact — Full APA-7 Reporting</w:t>
      </w:r>
    </w:p>
    <w:p>
      <w:r>
        <w:rPr>
          <w:rFonts w:ascii="Times New Roman" w:hAnsi="Times New Roman"/>
          <w:i/>
          <w:sz w:val="20"/>
        </w:rPr>
        <w:t>Simple linear regression of each outcome on out-group contact frequency, run separately within each ethnic group × wave cell. This document expands the previous bivariate doc (Bivariate_Contact_Per_Cell_APA.docx) with the full set of APA-7-required regression statistics: the model-level omnibus F-test with degrees of freedom, the model R², the unstandardized coefficient b with its standard error, the t-statistic testing the coefficient, its p-value, and the 95% CI on b. The standardized coefficient β is included as a complement.</w:t>
      </w:r>
    </w:p>
    <w:p/>
    <w:p>
      <w:r>
        <w:rPr>
          <w:rFonts w:ascii="Times New Roman" w:hAnsi="Times New Roman"/>
          <w:b/>
          <w:sz w:val="22"/>
        </w:rPr>
        <w:t>Table 1</w:t>
      </w:r>
    </w:p>
    <w:p>
      <w:r>
        <w:rPr>
          <w:rFonts w:ascii="Times New Roman" w:hAnsi="Times New Roman"/>
          <w:i/>
          <w:sz w:val="22"/>
        </w:rPr>
        <w:t>Simple linear regression of each outcome on out-group contact, per ethnic group × wave (outcome = b₀ + b × Contact + 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Outcome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Group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Wave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n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F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(df₁, df₂)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p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(model)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R</w:t>
            </w:r>
            <w:r>
              <w:rPr>
                <w:rFonts w:ascii="Times New Roman" w:hAnsi="Times New Roman"/>
                <w:b/>
                <w:i w:val="0"/>
                <w:sz w:val="18"/>
              </w:rPr>
              <w:t>²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b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18"/>
              </w:rPr>
              <w:t>SE</w:t>
            </w:r>
            <w:r>
              <w:rPr>
                <w:rFonts w:ascii="Times New Roman" w:hAnsi="Times New Roman"/>
                <w:b/>
                <w:i w:val="0"/>
                <w:sz w:val="18"/>
              </w:rPr>
              <w:t>)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β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t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95% CI on </w:t>
            </w:r>
            <w:r>
              <w:rPr>
                <w:rFonts w:ascii="Times New Roman" w:hAnsi="Times New Roman"/>
                <w:b/>
                <w:i/>
                <w:sz w:val="18"/>
              </w:rPr>
              <w:t>b</w:t>
            </w:r>
          </w:p>
        </w:tc>
        <w:tc>
          <w:tcPr>
            <w:tcW w:type="dxa" w:w="129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p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(b)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Superordinate Identity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17.60 (1, 697)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-0.075 (0.018)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-0.157***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[-0.111, -0.040]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861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0.32 (1, 859)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.572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-0.011 (0.019)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-0.57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[-0.047, +0.026]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.572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28.18 (1, 598)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+0.122 (0.023)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+0.212***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+5.31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[+0.077, +0.168]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39.28 (1, 515)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+0.191 (0.030)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+0.266***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+6.27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[+0.131, +0.251]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Primary Out-group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44.66 (1, 661)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-0.231 (0.035)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-0.252***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-6.68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[-0.299, -0.163]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45.21 (1, 804)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-0.241 (0.036)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-0.231***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-6.72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[-0.312, -0.171]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51.76 (1, 583)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-0.208 (0.029)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-0.286***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-7.19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[-0.265, -0.151]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5.60 (1, 474)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.018*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-0.082 (0.034)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-0.108*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-2.37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[-0.149, -0.014]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.018*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General Out-group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14.60 (1, 675)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-0.140 (0.037)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-0.146***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-3.82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[-0.212, -0.068]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14.35 (1, 849)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-0.104 (0.028)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-0.129***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-3.79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[-0.159, -0.050]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17.15 (1, 575)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-0.151 (0.037)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-0.170***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-4.14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[-0.223, -0.080]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2.21 (1, 513)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.138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-0.048 (0.032)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-1.49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[-0.112, +0.015]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.138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Comparative Opportunity Assessment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 (1, 677)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.938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+0.001 (0.018)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[-0.034, +0.036]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.938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9.35 (1, 840)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.002**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+0.049 (0.016)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+0.105**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+3.06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[+0.018, +0.081]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.002**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16.84 (1, 599)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-0.082 (0.020)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-0.165***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-4.10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[-0.121, -0.043]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15.65 (1, 515)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-0.083 (0.021)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-0.172***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-3.96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[-0.125, -0.042]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Belief in Inevitable Conflict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14.52 (1, 693)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-0.077 (0.020)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-0.143***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-3.81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[-0.117, -0.037]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13.93 (1, 850)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-0.078 (0.021)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-0.127***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-3.73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[-0.119, -0.037]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 (1, 597)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.301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+0.021 (0.021)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+1.03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[-0.019, +0.062]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.301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 (1, 504)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.915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-0.003 (0.024)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[-0.049, +0.044]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.915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Minority Inclusion Support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9.99 (1, 674)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.002**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+0.079 (0.025)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+0.121**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+3.16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[+0.030, +0.129]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.002**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22.89 (1, 838)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+0.114 (0.024)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+0.163***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+4.78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[+0.067, +0.160]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5.38 (1, 579)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.021*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-0.049 (0.021)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-0.096*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-2.32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[-0.090, -0.008]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.021*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2.39 (1, 503)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.122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 (0.024)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-1.55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[-0.085, +0.010]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.122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Group ID Patterns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629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1.80 (1, 627)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.180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+0.047 (0.035)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+1.34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[-0.022, +0.117]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.180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13.75 (1, 783)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+0.113 (0.030)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+0.131***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+3.71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[+0.053, +0.173]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26.46 (1, 588)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+0.146 (0.028)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+0.208***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+5.14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[+0.090, +0.201]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497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34.56 (1, 495)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+0.196 (0.033)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+0.255***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+5.88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[+0.131, +0.262]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.001***</w:t>
            </w:r>
          </w:p>
        </w:tc>
      </w:tr>
      <w:tr>
        <w:tc>
          <w:tcPr>
            <w:tcW w:type="dxa" w:w="1290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Territorial Attachment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695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7.48 (1, 693)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.006**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-0.050 (0.018)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-0.103**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-2.74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[-0.085, -0.014]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.006**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843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 (1, 841)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-0.010 (0.016)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-0.64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[-0.042, +0.021]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.520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6.35 (1, 589)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.012*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+0.053 (0.021)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+0.103*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+2.52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[+0.012, +0.094]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.012*</w:t>
            </w:r>
          </w:p>
        </w:tc>
      </w:tr>
      <w:tr>
        <w:tc>
          <w:tcPr>
            <w:tcW w:type="dxa" w:w="1290"/>
            <w:vMerge/>
          </w:tcPr>
          <w:p/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513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1.50 (1, 511)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.222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+0.026 (0.021)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+0.054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+1.22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[-0.016, +0.068]</w:t>
            </w:r>
          </w:p>
        </w:tc>
        <w:tc>
          <w:tcPr>
            <w:tcW w:type="dxa" w:w="129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.222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 xml:space="preserve">Each row is one simple linear regression on a single ethnic group × wave cell. </w:t>
      </w:r>
      <w:r>
        <w:rPr>
          <w:rFonts w:ascii="Times New Roman" w:hAnsi="Times New Roman"/>
          <w:b w:val="0"/>
          <w:i/>
          <w:sz w:val="18"/>
        </w:rPr>
        <w:t>F</w:t>
      </w:r>
      <w:r>
        <w:rPr>
          <w:rFonts w:ascii="Times New Roman" w:hAnsi="Times New Roman"/>
          <w:b w:val="0"/>
          <w:i w:val="0"/>
          <w:sz w:val="18"/>
        </w:rPr>
        <w:t xml:space="preserve"> is the omnibus model F-statistic with numerator </w:t>
      </w:r>
      <w:r>
        <w:rPr>
          <w:rFonts w:ascii="Times New Roman" w:hAnsi="Times New Roman"/>
          <w:b w:val="0"/>
          <w:i/>
          <w:sz w:val="18"/>
        </w:rPr>
        <w:t>df</w:t>
      </w:r>
      <w:r>
        <w:rPr>
          <w:rFonts w:ascii="Times New Roman" w:hAnsi="Times New Roman"/>
          <w:b w:val="0"/>
          <w:i w:val="0"/>
          <w:sz w:val="18"/>
        </w:rPr>
        <w:t xml:space="preserve">₁ = 1 (one predictor) and denominator </w:t>
      </w:r>
      <w:r>
        <w:rPr>
          <w:rFonts w:ascii="Times New Roman" w:hAnsi="Times New Roman"/>
          <w:b w:val="0"/>
          <w:i/>
          <w:sz w:val="18"/>
        </w:rPr>
        <w:t>df</w:t>
      </w:r>
      <w:r>
        <w:rPr>
          <w:rFonts w:ascii="Times New Roman" w:hAnsi="Times New Roman"/>
          <w:b w:val="0"/>
          <w:i w:val="0"/>
          <w:sz w:val="18"/>
        </w:rPr>
        <w:t xml:space="preserve">₂ = </w:t>
      </w:r>
      <w:r>
        <w:rPr>
          <w:rFonts w:ascii="Times New Roman" w:hAnsi="Times New Roman"/>
          <w:b w:val="0"/>
          <w:i/>
          <w:sz w:val="18"/>
        </w:rPr>
        <w:t>n</w:t>
      </w:r>
      <w:r>
        <w:rPr>
          <w:rFonts w:ascii="Times New Roman" w:hAnsi="Times New Roman"/>
          <w:b w:val="0"/>
          <w:i w:val="0"/>
          <w:sz w:val="18"/>
        </w:rPr>
        <w:t xml:space="preserve"> − 2.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(model) tests whether </w:t>
      </w:r>
      <w:r>
        <w:rPr>
          <w:rFonts w:ascii="Times New Roman" w:hAnsi="Times New Roman"/>
          <w:b w:val="0"/>
          <w:i/>
          <w:sz w:val="18"/>
        </w:rPr>
        <w:t>R</w:t>
      </w:r>
      <w:r>
        <w:rPr>
          <w:rFonts w:ascii="Times New Roman" w:hAnsi="Times New Roman"/>
          <w:b w:val="0"/>
          <w:i w:val="0"/>
          <w:sz w:val="18"/>
        </w:rPr>
        <w:t xml:space="preserve">² differs reliably from zero.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 = unstandardized coefficient on the original Likert scales. </w:t>
      </w:r>
      <w:r>
        <w:rPr>
          <w:rFonts w:ascii="Times New Roman" w:hAnsi="Times New Roman"/>
          <w:b w:val="0"/>
          <w:i/>
          <w:sz w:val="18"/>
        </w:rPr>
        <w:t>SE</w:t>
      </w:r>
      <w:r>
        <w:rPr>
          <w:rFonts w:ascii="Times New Roman" w:hAnsi="Times New Roman"/>
          <w:b w:val="0"/>
          <w:i w:val="0"/>
          <w:sz w:val="18"/>
        </w:rPr>
        <w:t xml:space="preserve"> = standard error of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. </w:t>
      </w:r>
      <w:r>
        <w:rPr>
          <w:rFonts w:ascii="Times New Roman" w:hAnsi="Times New Roman"/>
          <w:b w:val="0"/>
          <w:i/>
          <w:sz w:val="18"/>
        </w:rPr>
        <w:t>β</w:t>
      </w:r>
      <w:r>
        <w:rPr>
          <w:rFonts w:ascii="Times New Roman" w:hAnsi="Times New Roman"/>
          <w:b w:val="0"/>
          <w:i w:val="0"/>
          <w:sz w:val="18"/>
        </w:rPr>
        <w:t xml:space="preserve"> = standardized coefficient, computed as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 × </w:t>
      </w:r>
      <w:r>
        <w:rPr>
          <w:rFonts w:ascii="Times New Roman" w:hAnsi="Times New Roman"/>
          <w:b w:val="0"/>
          <w:i/>
          <w:sz w:val="18"/>
        </w:rPr>
        <w:t>SD</w:t>
      </w:r>
      <w:r>
        <w:rPr>
          <w:rFonts w:ascii="Times New Roman" w:hAnsi="Times New Roman"/>
          <w:b w:val="0"/>
          <w:i w:val="0"/>
          <w:sz w:val="18"/>
        </w:rPr>
        <w:t xml:space="preserve">(Contact) / </w:t>
      </w:r>
      <w:r>
        <w:rPr>
          <w:rFonts w:ascii="Times New Roman" w:hAnsi="Times New Roman"/>
          <w:b w:val="0"/>
          <w:i/>
          <w:sz w:val="18"/>
        </w:rPr>
        <w:t>SD</w:t>
      </w:r>
      <w:r>
        <w:rPr>
          <w:rFonts w:ascii="Times New Roman" w:hAnsi="Times New Roman"/>
          <w:b w:val="0"/>
          <w:i w:val="0"/>
          <w:sz w:val="18"/>
        </w:rPr>
        <w:t xml:space="preserve">(outcome). </w:t>
      </w:r>
      <w:r>
        <w:rPr>
          <w:rFonts w:ascii="Times New Roman" w:hAnsi="Times New Roman"/>
          <w:b w:val="0"/>
          <w:i/>
          <w:sz w:val="18"/>
        </w:rPr>
        <w:t>t</w:t>
      </w:r>
      <w:r>
        <w:rPr>
          <w:rFonts w:ascii="Times New Roman" w:hAnsi="Times New Roman"/>
          <w:b w:val="0"/>
          <w:i w:val="0"/>
          <w:sz w:val="18"/>
        </w:rPr>
        <w:t xml:space="preserve"> =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 / </w:t>
      </w:r>
      <w:r>
        <w:rPr>
          <w:rFonts w:ascii="Times New Roman" w:hAnsi="Times New Roman"/>
          <w:b w:val="0"/>
          <w:i/>
          <w:sz w:val="18"/>
        </w:rPr>
        <w:t>SE</w:t>
      </w:r>
      <w:r>
        <w:rPr>
          <w:rFonts w:ascii="Times New Roman" w:hAnsi="Times New Roman"/>
          <w:b w:val="0"/>
          <w:i w:val="0"/>
          <w:sz w:val="18"/>
        </w:rPr>
        <w:t>. 95% CIs use the asymptotic Student's-</w:t>
      </w:r>
      <w:r>
        <w:rPr>
          <w:rFonts w:ascii="Times New Roman" w:hAnsi="Times New Roman"/>
          <w:b w:val="0"/>
          <w:i/>
          <w:sz w:val="18"/>
        </w:rPr>
        <w:t>t</w:t>
      </w:r>
      <w:r>
        <w:rPr>
          <w:rFonts w:ascii="Times New Roman" w:hAnsi="Times New Roman"/>
          <w:b w:val="0"/>
          <w:i w:val="0"/>
          <w:sz w:val="18"/>
        </w:rPr>
        <w:t xml:space="preserve"> distribution with </w:t>
      </w:r>
      <w:r>
        <w:rPr>
          <w:rFonts w:ascii="Times New Roman" w:hAnsi="Times New Roman"/>
          <w:b w:val="0"/>
          <w:i/>
          <w:sz w:val="18"/>
        </w:rPr>
        <w:t>df</w:t>
      </w:r>
      <w:r>
        <w:rPr>
          <w:rFonts w:ascii="Times New Roman" w:hAnsi="Times New Roman"/>
          <w:b w:val="0"/>
          <w:i w:val="0"/>
          <w:sz w:val="18"/>
        </w:rPr>
        <w:t xml:space="preserve">₂. Default OLS standard errors. ***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.001, 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.01, 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.05, ⁺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</w:t>
      </w:r>
    </w:p>
    <w:p/>
    <w:p>
      <w:r>
        <w:br w:type="page"/>
      </w:r>
    </w:p>
    <w:p>
      <w:r>
        <w:rPr>
          <w:rFonts w:ascii="Times New Roman" w:hAnsi="Times New Roman"/>
          <w:b/>
          <w:sz w:val="26"/>
        </w:rPr>
        <w:t>Worked example — APA narrative reporting</w:t>
      </w:r>
    </w:p>
    <w:p>
      <w:r>
        <w:rPr>
          <w:rFonts w:ascii="Times New Roman" w:hAnsi="Times New Roman"/>
          <w:i/>
          <w:sz w:val="20"/>
        </w:rPr>
        <w:t>Below is a sample APA-7 narrative paragraph for one of the 32 cells, demonstrating how the values in Table 1 are reported in prose. The example chosen is the cell with the largest standardized contact effect in the data: Russian respondents in 2020 on SD: Primary Out-group.</w:t>
      </w:r>
    </w:p>
    <w:p>
      <w:pPr>
        <w:ind w:left="567" w:right="567"/>
      </w:pPr>
      <w:r>
        <w:rPr>
          <w:rFonts w:ascii="Times New Roman" w:hAnsi="Times New Roman"/>
          <w:b w:val="0"/>
          <w:i w:val="0"/>
          <w:sz w:val="22"/>
        </w:rPr>
        <w:t xml:space="preserve">A simple linear regression was conducted to determine whether out-group contact significantly predicted Russian respondents' Social Distance from the Primary Out-group (Estonian-speakers) in 2020. The model explained a significant proportion of variance in social-distance scores, </w:t>
      </w:r>
      <w:r>
        <w:rPr>
          <w:rFonts w:ascii="Times New Roman" w:hAnsi="Times New Roman"/>
          <w:b w:val="0"/>
          <w:i/>
          <w:sz w:val="22"/>
        </w:rPr>
        <w:t>R</w:t>
      </w:r>
      <w:r>
        <w:rPr>
          <w:rFonts w:ascii="Times New Roman" w:hAnsi="Times New Roman"/>
          <w:b w:val="0"/>
          <w:i w:val="0"/>
          <w:sz w:val="22"/>
        </w:rPr>
        <w:t>²</w:t>
      </w:r>
      <w:r>
        <w:rPr>
          <w:rFonts w:ascii="Times New Roman" w:hAnsi="Times New Roman"/>
          <w:b w:val="0"/>
          <w:i w:val="0"/>
          <w:sz w:val="22"/>
        </w:rPr>
        <w:t xml:space="preserve"> = 0.08, </w:t>
      </w:r>
      <w:r>
        <w:rPr>
          <w:rFonts w:ascii="Times New Roman" w:hAnsi="Times New Roman"/>
          <w:b w:val="0"/>
          <w:i/>
          <w:sz w:val="22"/>
        </w:rPr>
        <w:t>F</w:t>
      </w:r>
      <w:r>
        <w:rPr>
          <w:rFonts w:ascii="Times New Roman" w:hAnsi="Times New Roman"/>
          <w:b w:val="0"/>
          <w:i w:val="0"/>
          <w:sz w:val="22"/>
        </w:rPr>
        <w:t xml:space="preserve">(1, 583) = 51.76, </w:t>
      </w:r>
      <w:r>
        <w:rPr>
          <w:rFonts w:ascii="Times New Roman" w:hAnsi="Times New Roman"/>
          <w:b w:val="0"/>
          <w:i/>
          <w:sz w:val="22"/>
        </w:rPr>
        <w:t>p</w:t>
      </w:r>
      <w:r>
        <w:rPr>
          <w:rFonts w:ascii="Times New Roman" w:hAnsi="Times New Roman"/>
          <w:b w:val="0"/>
          <w:i w:val="0"/>
          <w:sz w:val="22"/>
        </w:rPr>
        <w:t xml:space="preserve"> = &lt; .001. Furthermore, out-group contact was a significant negative predictor of social distance, </w:t>
      </w:r>
      <w:r>
        <w:rPr>
          <w:rFonts w:ascii="Times New Roman" w:hAnsi="Times New Roman"/>
          <w:b w:val="0"/>
          <w:i/>
          <w:sz w:val="22"/>
        </w:rPr>
        <w:t>b</w:t>
      </w:r>
      <w:r>
        <w:rPr>
          <w:rFonts w:ascii="Times New Roman" w:hAnsi="Times New Roman"/>
          <w:b w:val="0"/>
          <w:i w:val="0"/>
          <w:sz w:val="22"/>
        </w:rPr>
        <w:t xml:space="preserve"> = -0.21, </w:t>
      </w:r>
      <w:r>
        <w:rPr>
          <w:rFonts w:ascii="Times New Roman" w:hAnsi="Times New Roman"/>
          <w:b w:val="0"/>
          <w:i/>
          <w:sz w:val="22"/>
        </w:rPr>
        <w:t>SE</w:t>
      </w:r>
      <w:r>
        <w:rPr>
          <w:rFonts w:ascii="Times New Roman" w:hAnsi="Times New Roman"/>
          <w:b w:val="0"/>
          <w:i w:val="0"/>
          <w:sz w:val="22"/>
        </w:rPr>
        <w:t xml:space="preserve"> = 0.03,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 xml:space="preserve"> = -7.19, </w:t>
      </w:r>
      <w:r>
        <w:rPr>
          <w:rFonts w:ascii="Times New Roman" w:hAnsi="Times New Roman"/>
          <w:b w:val="0"/>
          <w:i/>
          <w:sz w:val="22"/>
        </w:rPr>
        <w:t>p</w:t>
      </w:r>
      <w:r>
        <w:rPr>
          <w:rFonts w:ascii="Times New Roman" w:hAnsi="Times New Roman"/>
          <w:b w:val="0"/>
          <w:i w:val="0"/>
          <w:sz w:val="22"/>
        </w:rPr>
        <w:t xml:space="preserve"> &lt; .001, 95% CI [-0.26, -0.15]. The standardized coefficient was 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 w:val="0"/>
          <w:sz w:val="22"/>
        </w:rPr>
        <w:t xml:space="preserve"> = -0.29, indicating that a one-standard-deviation increase in out-group contact was associated with a 0.29-standard-deviation decrease in social distance from Estonian-speakers, consistent with classical contact-theory predictions (Pettigrew &amp; Tropp, 2006).</w:t>
      </w:r>
    </w:p>
    <w:p/>
    <w:p>
      <w:r>
        <w:rPr>
          <w:rFonts w:ascii="Times New Roman" w:hAnsi="Times New Roman"/>
          <w:i/>
          <w:sz w:val="20"/>
        </w:rPr>
        <w:t>The same template applies to all 32 cells in Table 1. The numerical values for any cell can be read directly from the table and dropped into the prose pattern: "R² = …, F(1, df₂) = …, p = …; b = …, SE = …, t = …, p = …, 95% CI […]; β = …."</w:t>
      </w:r>
    </w:p>
    <w:sectPr w:rsidR="00FC693F" w:rsidRPr="0006063C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