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937"/>
          <w:sz w:val="32"/>
        </w:rPr>
        <w:t>Full-Project Blindspot Audit</w:t>
      </w:r>
    </w:p>
    <w:p>
      <w:r>
        <w:rPr>
          <w:b/>
          <w:color w:val="4B5563"/>
          <w:sz w:val="22"/>
        </w:rPr>
        <w:t>EIM2 Master's Thesis — Estonian–Russian Intergroup Relations</w:t>
      </w:r>
    </w:p>
    <w:p>
      <w:r>
        <w:rPr>
          <w:b/>
          <w:sz w:val="20"/>
        </w:rPr>
        <w:t xml:space="preserve">Date: </w:t>
      </w:r>
      <w:r>
        <w:rPr>
          <w:sz w:val="20"/>
        </w:rPr>
        <w:t>2026-05-03</w:t>
      </w:r>
    </w:p>
    <w:p>
      <w:r>
        <w:rPr>
          <w:b/>
          <w:sz w:val="20"/>
        </w:rPr>
        <w:t xml:space="preserve">Scope: </w:t>
      </w:r>
      <w:r>
        <w:rPr>
          <w:sz w:val="20"/>
        </w:rPr>
        <w:t>End-to-end audit of the entire project — research design, composite construction, analytical choices, substantive findings, theoretical framing, methodology limitations, internal consistency across files, and documentation drift. Differs from Rounds 2 and 3, which audited only changes since the previous round.</w:t>
      </w:r>
    </w:p>
    <w:p>
      <w:r>
        <w:rPr>
          <w:b/>
          <w:sz w:val="20"/>
        </w:rPr>
        <w:t xml:space="preserve">Severity scheme: </w:t>
      </w:r>
      <w:r>
        <w:rPr>
          <w:sz w:val="20"/>
        </w:rPr>
        <w:t>HIGH = act before thesis submission; MEDIUM = worth addressing; LOW = housekeeping. Findings within a layer are ordered by severity, highest first.</w:t>
      </w:r>
    </w:p>
    <w:p/>
    <w:p>
      <w:r>
        <w:rPr>
          <w:i/>
          <w:sz w:val="20"/>
        </w:rPr>
        <w:t>This audit was carried out by re-reading CLAUDE.md, _effect_sizes.tsv, _invariance_results.tsv, _item_decomposition.tsv, build_all.py, the reports/ folder contents, and a sample of pipeline scripts, then cross-checking claims and values against each other. It is a perceptual audit, not a code-correctness audit (those have been performed by Referee 2 in Rounds 1–3). The questions asked here are: are the project's claims internally coherent? Have any decisions silently drifted? Are there things baked into the pipeline that no longer match what is being said about it?</w:t>
      </w:r>
    </w:p>
    <w:p>
      <w:r>
        <w:rPr>
          <w:b/>
          <w:sz w:val="24"/>
        </w:rPr>
        <w:t>Headline Verdict</w:t>
      </w:r>
    </w:p>
    <w:p>
      <w:r>
        <w:rPr>
          <w:sz w:val="20"/>
        </w:rPr>
        <w:t>CONDITIONAL — the analytical core of the project is sound. Composite construction, Cohen's d formulas, missing-value handling, and significance reporting are all internally consistent and have been independently verified by Referee 2 (Round 3: 444/444 Python + 440/440 R audit checks pass). The substantive findings are well-grounded in the data.</w:t>
      </w:r>
    </w:p>
    <w:p>
      <w:r>
        <w:rPr>
          <w:sz w:val="20"/>
        </w:rPr>
        <w:t>However, the project has accumulated NINE actionable items that should be addressed before thesis submission. Three are genuine analytical gaps (Russian sample composition, scalar-invariance caveats not yet propagated to figure narratives, and the construct-change qualification on cross-year SD: General comparisons). Six are documentation / reproducibility issues (build pipeline staleness, sample-size inconsistencies, orphaned files, missing CLAUDE.md entries for Round 3 work, legacy regression scripts left in place, and reports-folder cleanup). None of these invalidate any finding; together they create thesis-examiner exposure that is straightforward to close.</w:t>
      </w:r>
    </w:p>
    <w:p/>
    <w:p>
      <w:r>
        <w:rPr>
          <w:b/>
          <w:color w:val="1F2937"/>
          <w:sz w:val="24"/>
        </w:rPr>
        <w:t>Layer 1 — Research Design</w:t>
      </w:r>
    </w:p>
    <w:p>
      <w:r>
        <w:rPr>
          <w:b/>
          <w:color w:val="4B5563"/>
          <w:sz w:val="20"/>
        </w:rPr>
        <w:t xml:space="preserve">[ LOW ] </w:t>
      </w:r>
      <w:r>
        <w:rPr>
          <w:b/>
          <w:sz w:val="20"/>
        </w:rPr>
        <w:t>Sample restriction (ethnicity_binary in [0, 1]): defensible, well-documented.</w:t>
      </w:r>
    </w:p>
    <w:p>
      <w:r>
        <w:rPr>
          <w:sz w:val="20"/>
        </w:rPr>
        <w:t>Excluding respondents who self-identify as neither Estonian nor Russian is an explicit design choice tied to the research question (psychological asymmetry between the two primary ethnic groups). The exclusion is documented in CLAUDE.md and applied uniformly. Acknowledged limitation: the project does not speak to other ethnic minorities in Estonia. For thesis chapter, this should be a one-sentence scope clarification.</w:t>
      </w:r>
    </w:p>
    <w:p>
      <w:r>
        <w:rPr>
          <w:b/>
          <w:color w:val="4B5563"/>
          <w:sz w:val="20"/>
        </w:rPr>
        <w:t xml:space="preserve">[ LOW ] </w:t>
      </w:r>
      <w:r>
        <w:rPr>
          <w:b/>
          <w:sz w:val="20"/>
        </w:rPr>
        <w:t>Ethnicity classification mismatch across years (T8 in 2023 vs. T9 in 2020).</w:t>
      </w:r>
    </w:p>
    <w:p>
      <w:r>
        <w:rPr>
          <w:sz w:val="20"/>
        </w:rPr>
        <w:t>Per CLAUDE.md, 2023 uses T8 ('which nationality do you consider yourself to be MAINLY?') while 2020 uses T9_1 / T9_2 (self-identified nationality checkboxes). Both measure the same construct (self-identified nationality), and the swap from T7 (communication language) was a deliberate Mar 28 correction. The cross-year construct equivalence is reasonable but not formally tested. For the thesis methods chapter, note that the two measures differ in presentation (single-select vs. checkbox) even though both target self-identification.</w:t>
      </w:r>
    </w:p>
    <w:p>
      <w:r>
        <w:rPr>
          <w:b/>
          <w:color w:val="4B5563"/>
          <w:sz w:val="20"/>
        </w:rPr>
        <w:t xml:space="preserve">[ LOW ] </w:t>
      </w:r>
      <w:r>
        <w:rPr>
          <w:b/>
          <w:sz w:val="20"/>
        </w:rPr>
        <w:t>DK-as-NaN universal recoding: appropriate for analytical purposes.</w:t>
      </w:r>
    </w:p>
    <w:p>
      <w:r>
        <w:rPr>
          <w:sz w:val="20"/>
        </w:rPr>
        <w:t>All composites recode 'don't know' (code 9, sometimes 6) to NaN before analysis. This is standard practice but it does treat 'don't know' as MCAR (missing completely at random), which is unlikely. Some composites — Institutional Trust, dropped — had ~49% DK among Russians (almost certainly MNAR). For included composites, DK rates are much lower, but the implicit MCAR assumption should be acknowledged in the methods chapter.</w:t>
      </w:r>
    </w:p>
    <w:p/>
    <w:p>
      <w:r>
        <w:rPr>
          <w:b/>
          <w:color w:val="1F2937"/>
          <w:sz w:val="24"/>
        </w:rPr>
        <w:t>Layer 2 — Construct Construction</w:t>
      </w:r>
    </w:p>
    <w:p>
      <w:r>
        <w:rPr>
          <w:b/>
          <w:color w:val="B45309"/>
          <w:sz w:val="20"/>
        </w:rPr>
        <w:t xml:space="preserve">[ MEDIUM ] </w:t>
      </w:r>
      <w:r>
        <w:rPr>
          <w:b/>
          <w:sz w:val="20"/>
        </w:rPr>
        <w:t>BiC composite recode (Apr 30, Option B): correctly applied across pipeline, but documentation in CLAUDE.md is dense and easy to mis-read.</w:t>
      </w:r>
    </w:p>
    <w:p>
      <w:r>
        <w:rPr>
          <w:sz w:val="20"/>
        </w:rPr>
        <w:t>The Apr 30 recode (reverse-coding switched from Q63_3/Q63_4 to Q63_1/Q63_2) flipped the sign of every BiC d in the canonical TSV. CLAUDE.md documents this thoroughly, but the decision-table entry is one massive block of text with the substantive interpretation buried at the end. A reader skimming would miss the sign reversal. Recommend extracting the substantive consequence ('Russians DECREASED conflict belief; Estonians have HIGHER conflict belief than Russians; the gap WIDENED') into a clearly visible summary box at the top of CLAUDE.md or in the methods chapter.</w:t>
      </w:r>
    </w:p>
    <w:p>
      <w:r>
        <w:rPr>
          <w:b/>
          <w:color w:val="B45309"/>
          <w:sz w:val="20"/>
        </w:rPr>
        <w:t xml:space="preserve">[ MEDIUM ] </w:t>
      </w:r>
      <w:r>
        <w:rPr>
          <w:b/>
          <w:sz w:val="20"/>
        </w:rPr>
        <w:t>Q67_4 inversion bug history (Apr 30): fixed in scripts 31/32/33 but not flagged in chart titles or captions.</w:t>
      </w:r>
    </w:p>
    <w:p>
      <w:r>
        <w:rPr>
          <w:sz w:val="20"/>
        </w:rPr>
        <w:t>The Q67_4 single-item charts had a single-inversion bug fixed Apr 30 (raw direction already aligns with 'higher = more belonging'; the additional 5 − raw inversion was removed). The fix is documented in SESSION_LOG §31d-bis. The current charts produced by scripts 31/32/33 are correct, but neither the chart titles nor captions flag the fix or the changed sign of the Q67_4 within-group d's. A reader comparing charts to earlier versions of the analysis (or to old Slack screenshots, etc.) could be confused.</w:t>
      </w:r>
    </w:p>
    <w:p>
      <w:r>
        <w:rPr>
          <w:b/>
          <w:color w:val="4B5563"/>
          <w:sz w:val="20"/>
        </w:rPr>
        <w:t xml:space="preserve">[ LOW ] </w:t>
      </w:r>
      <w:r>
        <w:rPr>
          <w:b/>
          <w:sz w:val="20"/>
        </w:rPr>
        <w:t>Visualization inversions (5 − x): 5 composites flipped for HTML viz only.</w:t>
      </w:r>
    </w:p>
    <w:p>
      <w:r>
        <w:rPr>
          <w:sz w:val="20"/>
        </w:rPr>
        <w:t>The dumbbell chart and mind map invert Superordinate Identity, Comparative Opportunity, Minority Support, both Contact composites, and Territorial Attachment so that 'higher = more of the construct.' These inversions apply ONLY to HTML viz, not to raw composites or SESSION_LOG tables. The convention is documented in CLAUDE.md, but a thesis examiner cross-checking a chart number against a TSV value would see different signs and could wonder whether something is wrong. Suggest adding a one-line marginal note on the inverted charts: 'Direction inverted for visualization; canonical TSV uses opposite sign.'</w:t>
      </w:r>
    </w:p>
    <w:p>
      <w:r>
        <w:rPr>
          <w:b/>
          <w:color w:val="4B5563"/>
          <w:sz w:val="20"/>
        </w:rPr>
        <w:t xml:space="preserve">[ LOW ] </w:t>
      </w:r>
      <w:r>
        <w:rPr>
          <w:b/>
          <w:sz w:val="20"/>
        </w:rPr>
        <w:t>SD: Primary uses group-specific items (a recurring footgun documented in CLAUDE.md).</w:t>
      </w:r>
    </w:p>
    <w:p>
      <w:r>
        <w:rPr>
          <w:sz w:val="20"/>
        </w:rPr>
        <w:t>Estonians rate Russian-speakers (Q57_1/Q58_1/Q59_1); Russians rate Estonian-speakers (Q57_2/Q58_2/Q59_2). The CLAUDE.md 'Critical Gotchas' section flags this explicitly. The construction is correct everywhere it is used. No action needed beyond keeping the gotcha comment visible.</w:t>
      </w:r>
    </w:p>
    <w:p/>
    <w:p>
      <w:r>
        <w:rPr>
          <w:b/>
          <w:color w:val="1F2937"/>
          <w:sz w:val="24"/>
        </w:rPr>
        <w:t>Layer 3 — Analytical Choices</w:t>
      </w:r>
    </w:p>
    <w:p>
      <w:r>
        <w:rPr>
          <w:b/>
          <w:color w:val="4B5563"/>
          <w:sz w:val="20"/>
        </w:rPr>
        <w:t xml:space="preserve">[ LOW ] </w:t>
      </w:r>
      <w:r>
        <w:rPr>
          <w:b/>
          <w:sz w:val="20"/>
        </w:rPr>
        <w:t>Cohen's d formula (root-mean-square SD): non-standard but explicit.</w:t>
      </w:r>
    </w:p>
    <w:p>
      <w:r>
        <w:rPr>
          <w:sz w:val="20"/>
        </w:rPr>
        <w:t>The project uses d = (M1 − M2) / sqrt((SD1² + SD2²)/2), the root-mean-square SD form, rather than the more common pooled-SD form. CLAUDE.md and SESSION_LOG document this choice and note the difference is 0.03–0.09 in absolute terms vs. classic Cohen's d. The choice is justified by reproducibility against the 2026-03-28 reported values. For thesis methods chapter, cite the formula explicitly and note that it differs from textbook Cohen's d so a reader recomputing from M's and SD's gets matching numbers.</w:t>
      </w:r>
    </w:p>
    <w:p>
      <w:r>
        <w:rPr>
          <w:b/>
          <w:color w:val="4B5563"/>
          <w:sz w:val="20"/>
        </w:rPr>
        <w:t xml:space="preserve">[ LOW ] </w:t>
      </w:r>
      <w:r>
        <w:rPr>
          <w:b/>
          <w:sz w:val="20"/>
        </w:rPr>
        <w:t>Welch's t (not Student's): correct for unequal variances.</w:t>
      </w:r>
    </w:p>
    <w:p>
      <w:r>
        <w:rPr>
          <w:sz w:val="20"/>
        </w:rPr>
        <w:t>Used uniformly. Appropriate given the substantial SD differences across groups (Estonian and Russian samples have visibly different dispersions on most composites, formally confirmed by the Levene's tests in SESSION_LOG §30 and the Round 3 analyses).</w:t>
      </w:r>
    </w:p>
    <w:p>
      <w:r>
        <w:rPr>
          <w:b/>
          <w:color w:val="4B5563"/>
          <w:sz w:val="20"/>
        </w:rPr>
        <w:t xml:space="preserve">[ LOW ] </w:t>
      </w:r>
      <w:r>
        <w:rPr>
          <w:b/>
          <w:sz w:val="20"/>
        </w:rPr>
        <w:t>Pairwise vs. listwise composite construction: rationale documented.</w:t>
      </w:r>
    </w:p>
    <w:p>
      <w:r>
        <w:rPr>
          <w:sz w:val="20"/>
        </w:rPr>
        <w:t>Composite scores use pandas' default pd.DataFrame.mean(axis=1, skipna=True), i.e., pairwise deletion. PCA and Cronbach's alpha use listwise deletion. CLAUDE.md notes the difference and its implication (composite N &gt; PCA N for the same variable). The Apr 29 decision to make pairwise the canonical approach across all effect-size computations is documented. No action.</w:t>
      </w:r>
    </w:p>
    <w:p>
      <w:r>
        <w:rPr>
          <w:b/>
          <w:color w:val="4B5563"/>
          <w:sz w:val="20"/>
        </w:rPr>
        <w:t xml:space="preserve">[ LOW ] </w:t>
      </w:r>
      <w:r>
        <w:rPr>
          <w:b/>
          <w:sz w:val="20"/>
        </w:rPr>
        <w:t>Single-factor decisions despite 2-component Kaiser for Q44 and the contact composites: justified theoretically, all alphas &gt; .73.</w:t>
      </w:r>
    </w:p>
    <w:p>
      <w:r>
        <w:rPr>
          <w:sz w:val="20"/>
        </w:rPr>
        <w:t>The decisions to retain single-factor solutions for Q44 (alpha &gt; .88), the in-group contact composites, and the Russian SD pooled solution are documented in CLAUDE.md decisions table (Mar 23). Each decision is paired with an alpha threshold or theoretical-coherence rationale. No action.</w:t>
      </w:r>
    </w:p>
    <w:p/>
    <w:p>
      <w:r>
        <w:rPr>
          <w:b/>
          <w:color w:val="1F2937"/>
          <w:sz w:val="24"/>
        </w:rPr>
        <w:t>Layer 4 — Substantive Findings</w:t>
      </w:r>
    </w:p>
    <w:p>
      <w:r>
        <w:rPr>
          <w:b/>
          <w:color w:val="B91C1C"/>
          <w:sz w:val="20"/>
        </w:rPr>
        <w:t xml:space="preserve">[ HIGH ] </w:t>
      </w:r>
      <w:r>
        <w:rPr>
          <w:b/>
          <w:sz w:val="20"/>
        </w:rPr>
        <w:t>Item-level cross-direction divergences (Q68_3 'Understand opinions' and Q63_2 'Differences divide society') are now well-documented in figures but UNDER-INTEGRATED INTO THE NARRATIVE.</w:t>
      </w:r>
    </w:p>
    <w:p>
      <w:r>
        <w:rPr>
          <w:sz w:val="20"/>
        </w:rPr>
        <w:t>Two items show Estonian and Russian within-group changes BOTH significant and OPPOSITE in direction: Q68_3 (Est −0.16 **, Rus +0.23 ***) and Q63_2 (Est +0.26 ***, Rus −0.21 ***). Both are now amber-highlighted in the item-decomposition charts (May 3). Substantively they are the strongest available evidence for 'asymmetric divergence' as a phenomenon rather than parallel-but-different change. Currently they appear only as item-level footnotes; they should be promoted to a stand-alone finding in the discussion chapter, ideally with their own table or figure.</w:t>
      </w:r>
    </w:p>
    <w:p>
      <w:r>
        <w:rPr>
          <w:b/>
          <w:color w:val="B91C1C"/>
          <w:sz w:val="20"/>
        </w:rPr>
        <w:t xml:space="preserve">[ HIGH ] </w:t>
      </w:r>
      <w:r>
        <w:rPr>
          <w:b/>
          <w:sz w:val="20"/>
        </w:rPr>
        <w:t>The §51 Estonian Primary-vs-General sign-reversal is the single sharpest finding the project has, but its current write-up presentation does not match its centrality.</w:t>
      </w:r>
    </w:p>
    <w:p>
      <w:r>
        <w:rPr>
          <w:sz w:val="20"/>
        </w:rPr>
        <w:t>The §51 paired test (within-respondent) shows that the rank order between Russian-speakers (Primary) and generic out-groups (General) FLIPPED for Estonians between 2020 and 2023. The Round 3 Blindspot recommended this be promoted to a key thesis finding with a proper table (now produced as Table_Test3). The substantive interpretation chain ('rules out non-targeted hardening') is also worked out. What remains: ensure the thesis discussion chapter actually treats this as the headline result rather than as a §51 supplement.</w:t>
      </w:r>
    </w:p>
    <w:p>
      <w:r>
        <w:rPr>
          <w:b/>
          <w:color w:val="B45309"/>
          <w:sz w:val="20"/>
        </w:rPr>
        <w:t xml:space="preserve">[ MEDIUM ] </w:t>
      </w:r>
      <w:r>
        <w:rPr>
          <w:b/>
          <w:sz w:val="20"/>
        </w:rPr>
        <w:t>Convergent fragmentation across five Estonian dimensions: solid evidence, well-positioned for promotion.</w:t>
      </w:r>
    </w:p>
    <w:p>
      <w:r>
        <w:rPr>
          <w:sz w:val="20"/>
        </w:rPr>
        <w:t>Levene's-test-significant variance growth on the Estonian side appears in: Superordinate Identity (p &lt; .001), Group ID Patterns (variance grew), Belief in Inevitable Conflict (p &lt; .001), Minority Inclusion Support (p = .001), and SD: Primary Out-group composite (p = .001) and Work / study item (p = .003). Five distinct intergroup constructs showing the same dispersion-grows pattern is a strong convergent signature. Currently this appears across multiple SESSION_LOG sections and one Blindspot report; it should be consolidated into a single 'fragmentation pattern' subsection in the thesis discussion.</w:t>
      </w:r>
    </w:p>
    <w:p>
      <w:r>
        <w:rPr>
          <w:b/>
          <w:color w:val="B45309"/>
          <w:sz w:val="20"/>
        </w:rPr>
        <w:t xml:space="preserve">[ MEDIUM ] </w:t>
      </w:r>
      <w:r>
        <w:rPr>
          <w:b/>
          <w:sz w:val="20"/>
        </w:rPr>
        <w:t>SD: Primary public-vs-intimate gradient: real sub-finding, currently missing from the writeup.</w:t>
      </w:r>
    </w:p>
    <w:p>
      <w:r>
        <w:rPr>
          <w:sz w:val="20"/>
        </w:rPr>
        <w:t>Within-Estonian SD: Primary item d's are Neighbors +0.41 ***, Work / study +0.44 ***, Marriage +0.22 ***. The most intimate item (marriage) shows half the magnitude of the public/civic items. Two interpretations are viable: (i) the shift is principally about public / civic life, not personal/family relations; (ii) marriage is at floor in 2020 and has less room to grow. Round 3 Blindspot recommended a quick distribution check to discriminate, plus a one- or two-sentence sub-finding paragraph. Neither has been done.</w:t>
      </w:r>
    </w:p>
    <w:p/>
    <w:p>
      <w:r>
        <w:rPr>
          <w:b/>
          <w:color w:val="1F2937"/>
          <w:sz w:val="24"/>
        </w:rPr>
        <w:t>Layer 5 — Theoretical Framing</w:t>
      </w:r>
    </w:p>
    <w:p>
      <w:r>
        <w:rPr>
          <w:b/>
          <w:color w:val="B91C1C"/>
          <w:sz w:val="20"/>
        </w:rPr>
        <w:t xml:space="preserve">[ HIGH ] </w:t>
      </w:r>
      <w:r>
        <w:rPr>
          <w:b/>
          <w:sz w:val="20"/>
        </w:rPr>
        <w:t>The 'asymmetric divergence under external shock' reframing has been internalized but the WORD-LEVEL claim language is still inconsistent across documents.</w:t>
      </w:r>
    </w:p>
    <w:p>
      <w:r>
        <w:rPr>
          <w:sz w:val="20"/>
        </w:rPr>
        <w:t>Various phrasings appear across CLAUDE.md, SESSION_LOG, and the Blindspot reports: 'psychological asymmetry,' 'asymmetric attitude divergence under shock,' 'targeted hardening,' 'rules out non-targeted hardening,' 'convergent fragmentation,' 'broadly liberalizing.' These are all describing related claims, but a thesis examiner will read them as distinct theoretical propositions. Recommend: write a single one-paragraph theoretical-claim statement (the 'thesis sentence') and use that exact wording everywhere the framing is invoked.</w:t>
      </w:r>
    </w:p>
    <w:p>
      <w:r>
        <w:rPr>
          <w:b/>
          <w:color w:val="B45309"/>
          <w:sz w:val="20"/>
        </w:rPr>
        <w:t xml:space="preserve">[ MEDIUM ] </w:t>
      </w:r>
      <w:r>
        <w:rPr>
          <w:b/>
          <w:sz w:val="20"/>
        </w:rPr>
        <w:t>Falsification logic: now correctly scoped to 'rules out non-targeted hardening' in Round 3 Blindspot, but the Round 2 §29 framing still says 'falsifies generalized hardening.'</w:t>
      </w:r>
    </w:p>
    <w:p>
      <w:r>
        <w:rPr>
          <w:sz w:val="20"/>
        </w:rPr>
        <w:t>SESSION_LOG §29 (Apr 29) frames the Estonian Primary-vs-General divergence as a falsification test for 'generalized hardening.' The Round 3 Blindspot (May 2) Flag 7 weakened this to 'rules out non-targeted hardening' (the actually-supported claim). SESSION_LOG §29 has not been updated to reflect this. Either revise §29 or add a marginal note saying 'See Blindspot Round 3 Flag 7 for revised falsification claim.'</w:t>
      </w:r>
    </w:p>
    <w:p>
      <w:r>
        <w:rPr>
          <w:b/>
          <w:color w:val="B45309"/>
          <w:sz w:val="20"/>
        </w:rPr>
        <w:t xml:space="preserve">[ MEDIUM ] </w:t>
      </w:r>
      <w:r>
        <w:rPr>
          <w:b/>
          <w:sz w:val="20"/>
        </w:rPr>
        <w:t>Contact-theory connection (Russians' contact UP + conflict belief DOWN): consistent with classical Allport contact theory, but never explicitly cited.</w:t>
      </w:r>
    </w:p>
    <w:p>
      <w:r>
        <w:rPr>
          <w:sz w:val="20"/>
        </w:rPr>
        <w:t>After the BiC recode (Apr 30), the within-Russian pattern of increased contact and decreased belief in inevitable conflict is exactly what contact theory predicts. This dissolves the §29 'paradox' and points toward a strong theoretical-grounding opportunity. Currently mentioned in the BiC recode entry (CLAUDE.md decisions table, Apr 30) but never developed. For the thesis discussion, this is a one-paragraph theoretical-anchoring win that should not be left on the table.</w:t>
      </w:r>
    </w:p>
    <w:p/>
    <w:p>
      <w:r>
        <w:rPr>
          <w:b/>
          <w:color w:val="1F2937"/>
          <w:sz w:val="24"/>
        </w:rPr>
        <w:t>Layer 6 — Methodology Limitations</w:t>
      </w:r>
    </w:p>
    <w:p>
      <w:r>
        <w:rPr>
          <w:b/>
          <w:color w:val="B91C1C"/>
          <w:sz w:val="20"/>
        </w:rPr>
        <w:t xml:space="preserve">[ HIGH ] </w:t>
      </w:r>
      <w:r>
        <w:rPr>
          <w:b/>
          <w:sz w:val="20"/>
        </w:rPr>
        <w:t>Russian sample composition shift (~609 → ~520) STILL UNINVESTIGATED — Round 2 FLAG 1, now eight days old.</w:t>
      </w:r>
    </w:p>
    <w:p>
      <w:r>
        <w:rPr>
          <w:sz w:val="20"/>
        </w:rPr>
        <w:t>The Russian respondent N dropped from ~609 (2020, T9 classification) to ~520 (2023, T8 classification), per canonical TSV. This was raised in Round 2 Blindspot §29 FLAG 1 (Apr 29) and re-raised in Round 3 Blindspot Flag 3 (May 2). Still not closed. If conservative Russian respondents selectively dropped out between waves (e.g., due to war-related disengagement from civic surveys), every within-Russian d in the project — including the 'Russian liberalization' headline — is biased in the liberalizing direction. The minimum useful check is: (1) cross-tab age, education, and region for the Russian subsample in 2020 vs. 2023; (2) if a noticeable shift exists, re-estimate the within-Russian d's with post-stratification weights or covariate adjustment. Should be the #1 pre-submission action item.</w:t>
      </w:r>
    </w:p>
    <w:p>
      <w:r>
        <w:rPr>
          <w:b/>
          <w:color w:val="B91C1C"/>
          <w:sz w:val="20"/>
        </w:rPr>
        <w:t xml:space="preserve">[ HIGH ] </w:t>
      </w:r>
      <w:r>
        <w:rPr>
          <w:b/>
          <w:sz w:val="20"/>
        </w:rPr>
        <w:t>Scalar-invariance caveats not yet propagated to figure captions for BiC and Minority Support within-group findings.</w:t>
      </w:r>
    </w:p>
    <w:p>
      <w:r>
        <w:rPr>
          <w:sz w:val="20"/>
        </w:rPr>
        <w:t>§33 measurement invariance established that scalar invariance HOLDS longitudinally for SD: Primary (both groups) but FAILS for BiC and Minority Support (both groups). The within-Russian BiC d = −0.32 *** and within-Estonian Minority Support d = −0.15 ** therefore describe observed score differences whose latent-mean comparability is not established. CLAUDE.md and the Measurement_Invariance_Per_Composite_Interpretation.docx document this; the chart captions and the discussion-chapter prose should also reflect it. Round 3 Blindspot Flag 2 recommended adding the caveat to chart captions; this has not been done.</w:t>
      </w:r>
    </w:p>
    <w:p>
      <w:r>
        <w:rPr>
          <w:b/>
          <w:color w:val="B45309"/>
          <w:sz w:val="20"/>
        </w:rPr>
        <w:t xml:space="preserve">[ MEDIUM ] </w:t>
      </w:r>
      <w:r>
        <w:rPr>
          <w:b/>
          <w:sz w:val="20"/>
        </w:rPr>
        <w:t>Cross-year SD: General construct change (2020: 'new immigrants' [3 items]; 2023: 'other Europeans' + 'non-Europeans' [6 items]): documented in CLAUDE.md, but not flagged consistently in chart annotations or discussion prose.</w:t>
      </w:r>
    </w:p>
    <w:p>
      <w:r>
        <w:rPr>
          <w:sz w:val="20"/>
        </w:rPr>
        <w:t>Within-group SD: General d's compare a 3-item 2020 battery to a 6-item 2023 battery with a different target population. CLAUDE.md flags this as 'cross-year measures different construct.' The §50 (4×3 SD General item-density figure) handles this by overlaying the 2020 baseline against both 2023 sub-targets, which is good visual practice. The §54 / §55 Primary-vs-General comparison figures inherited the caveat. The §48 / §49 charts mention it. But it is not consistently flagged in the figure captions where the within-group SD: General d is cited.</w:t>
      </w:r>
    </w:p>
    <w:p>
      <w:r>
        <w:rPr>
          <w:b/>
          <w:color w:val="B45309"/>
          <w:sz w:val="20"/>
        </w:rPr>
        <w:t xml:space="preserve">[ MEDIUM ] </w:t>
      </w:r>
      <w:r>
        <w:rPr>
          <w:b/>
          <w:sz w:val="20"/>
        </w:rPr>
        <w:t>Ukrainian-item exclusion: explicit and defensible, but creates a partial-truth problem in 'Russian liberalization' framing.</w:t>
      </w:r>
    </w:p>
    <w:p>
      <w:r>
        <w:rPr>
          <w:sz w:val="20"/>
        </w:rPr>
        <w:t>The 2023 SD: General excludes Ukrainian items per the 2026-03-23 decision (Russians held asymmetrically negative views of Ukrainian refugees, masking otherwise positive general-out-group attitudes). Methodologically defensible. But the headline 'Russians liberalized toward general out-groups' is therefore partial — it covers generic Europeans + non-Europeans, not the most policy-salient post-2022 immigrant population. Round 3 Blindspot Flag 4 recommended either plotting the dropped Ukrainian items separately or adding a paragraph clarifying the scope. Not done.</w:t>
      </w:r>
    </w:p>
    <w:p/>
    <w:p>
      <w:r>
        <w:rPr>
          <w:b/>
          <w:color w:val="1F2937"/>
          <w:sz w:val="24"/>
        </w:rPr>
        <w:t>Layer 7 — Internal Consistency Across Files</w:t>
      </w:r>
    </w:p>
    <w:p>
      <w:r>
        <w:rPr>
          <w:b/>
          <w:color w:val="B45309"/>
          <w:sz w:val="20"/>
        </w:rPr>
        <w:t xml:space="preserve">[ MEDIUM ] </w:t>
      </w:r>
      <w:r>
        <w:rPr>
          <w:b/>
          <w:sz w:val="20"/>
        </w:rPr>
        <w:t>Sample-size headline numbers in CLAUDE.md don't exactly match the canonical TSV per-composite max.</w:t>
      </w:r>
    </w:p>
    <w:p>
      <w:r>
        <w:rPr>
          <w:sz w:val="20"/>
        </w:rPr>
        <w:t>CLAUDE.md states: '2020 N: 706 Estonian, 609 Russian; 2023 N: 870 Estonian, 522 Russian.' Canonical TSV per-composite max: 2020 N = 702 Est / 607 Rus; 2023 N = 865 Est / 521 Rus. Discrepancy of 4–5 in each cell. Likely the CLAUDE.md figure is the unfiltered ethnicity_binary count and the per-composite max is after composite-level missing-data filtering. Worth either reconciling (state both numbers in CLAUDE.md with a sentence explaining the difference) or correcting one of them. Examiner will spot this if the headline N is cited in the thesis abstract.</w:t>
      </w:r>
    </w:p>
    <w:p>
      <w:r>
        <w:rPr>
          <w:b/>
          <w:color w:val="B45309"/>
          <w:sz w:val="20"/>
        </w:rPr>
        <w:t xml:space="preserve">[ MEDIUM ] </w:t>
      </w:r>
      <w:r>
        <w:rPr>
          <w:b/>
          <w:sz w:val="20"/>
        </w:rPr>
        <w:t>'Minority Support Inclusion' (canonical) vs 'Minority Inclusion Support' (chart labels): half-renamed.</w:t>
      </w:r>
    </w:p>
    <w:p>
      <w:r>
        <w:rPr>
          <w:sz w:val="20"/>
        </w:rPr>
        <w:t>On 2026-05-03 the chart-label name was changed to 'Minority Inclusion Support' in scripts 39, 40, 41, and 58. The canonical TSV, _item_decomposition.tsv, _invariance_results.tsv, the build pipeline (24/29/etc.), and the referee2 audit scripts all still use 'Minority Support Inclusion.' This is a deliberate scope decision (renaming the canonical name would cascade through 884 audit checks), but it is not documented in CLAUDE.md. Worth either adding a one-line note in CLAUDE.md ('User-facing name = Minority Inclusion Support; canonical-pipeline name = Minority Support Inclusion') or doing a full rename with a re-audit.</w:t>
      </w:r>
    </w:p>
    <w:p>
      <w:r>
        <w:rPr>
          <w:b/>
          <w:color w:val="4B5563"/>
          <w:sz w:val="20"/>
        </w:rPr>
        <w:t xml:space="preserve">[ LOW ] </w:t>
      </w:r>
      <w:r>
        <w:rPr>
          <w:b/>
          <w:sz w:val="20"/>
        </w:rPr>
        <w:t>Q44 has 12 items in the 2023 CSV (matches CLAUDE.md table).</w:t>
      </w:r>
    </w:p>
    <w:p>
      <w:r>
        <w:rPr>
          <w:sz w:val="20"/>
        </w:rPr>
        <w:t>Header count of EIM23.csv confirms 12 Q44_* items. Matches CLAUDE.md composite #4 spec.</w:t>
      </w:r>
    </w:p>
    <w:p>
      <w:r>
        <w:rPr>
          <w:b/>
          <w:color w:val="4B5563"/>
          <w:sz w:val="20"/>
        </w:rPr>
        <w:t xml:space="preserve">[ LOW ] </w:t>
      </w:r>
      <w:r>
        <w:rPr>
          <w:b/>
          <w:sz w:val="20"/>
        </w:rPr>
        <w:t>Invariance verdict counts in CLAUDE.md decisions table match the canonical _invariance_results.tsv.</w:t>
      </w:r>
    </w:p>
    <w:p>
      <w:r>
        <w:rPr>
          <w:sz w:val="20"/>
        </w:rPr>
        <w:t>CLAUDE.md (Apr 30 entry, Pending Item #9): 'metric HOLDS in 12, PARTIAL in 5, FAILS in 11; scalar HOLDS in 8, PARTIAL in 2, FAILS in 18.' Canonical TSV recount confirms exact match.</w:t>
      </w:r>
    </w:p>
    <w:p/>
    <w:p>
      <w:r>
        <w:rPr>
          <w:b/>
          <w:color w:val="1F2937"/>
          <w:sz w:val="24"/>
        </w:rPr>
        <w:t>Layer 8 — Documentation Drift</w:t>
      </w:r>
    </w:p>
    <w:p>
      <w:r>
        <w:rPr>
          <w:b/>
          <w:color w:val="B91C1C"/>
          <w:sz w:val="20"/>
        </w:rPr>
        <w:t xml:space="preserve">[ HIGH ] </w:t>
      </w:r>
      <w:r>
        <w:rPr>
          <w:b/>
          <w:sz w:val="20"/>
        </w:rPr>
        <w:t>build_all.py is STALE — 27 of the 61 numbered scripts in code/ are NOT in the build pipeline, including ALL of the May 1–3 Round 3 work (scripts 39–58).</w:t>
      </w:r>
    </w:p>
    <w:p>
      <w:r>
        <w:rPr>
          <w:sz w:val="20"/>
        </w:rPr>
        <w:t>The build pipeline currently includes scripts 01–05, 10, 19–30, 36–38, plus a handful of older PCA scripts. It does NOT include scripts 06–09, 11–18, 31–35, or 39–58. That means the entire Round 3 wave of analysis — the §51 paired test, all the Primary-vs-General comparison figures, the Minority / SD Primary / SD General item-density and item-decomposition figures, the Round 3 Blindspot generator, the Test 3 paired-table generator, and the focused between-group bar chart — is not part of the reproducible CI gate. If the canonical TSV is regenerated, these outputs will not auto-rebuild. Highest priority documentation-layer fix: add the Round 3 scripts to build_all.py as Stage 8.</w:t>
      </w:r>
    </w:p>
    <w:p>
      <w:r>
        <w:rPr>
          <w:b/>
          <w:color w:val="B91C1C"/>
          <w:sz w:val="20"/>
        </w:rPr>
        <w:t xml:space="preserve">[ HIGH ] </w:t>
      </w:r>
      <w:r>
        <w:rPr>
          <w:b/>
          <w:sz w:val="20"/>
        </w:rPr>
        <w:t>CLAUDE.md decisions table has NO entries dated 2026-05 — all of Round 3 is undocumented in the canonical project ledger.</w:t>
      </w:r>
    </w:p>
    <w:p>
      <w:r>
        <w:rPr>
          <w:sz w:val="20"/>
        </w:rPr>
        <w:t>Last entry in the decisions table is 2026-04-30 (BiC recode). Since then: (Round 3 work) the §51 paired test, the sign-reversal finding, the focused between-group chart, the amber-highlight scheme for divergent items, the Q68 / Q63 cross-direction divergence findings, the Test 3 publication table, and the Round 3 Blindspot have all happened. None appear in CLAUDE.md. A reader returning to the project after a break would see 'Phase: Thesis figure preparation / write-up' and assume nothing substantive has occurred since Apr 30. Recommend adding 4–6 decision-table entries summarizing the Round 3 wave.</w:t>
      </w:r>
    </w:p>
    <w:p>
      <w:r>
        <w:rPr>
          <w:b/>
          <w:color w:val="B45309"/>
          <w:sz w:val="20"/>
        </w:rPr>
        <w:t xml:space="preserve">[ MEDIUM ] </w:t>
      </w:r>
      <w:r>
        <w:rPr>
          <w:b/>
          <w:sz w:val="20"/>
        </w:rPr>
        <w:t>Orphaned in-group SD outputs in viz/ (3 files) — produced May 1, dropped from analysis the same day.</w:t>
      </w:r>
    </w:p>
    <w:p>
      <w:r>
        <w:rPr>
          <w:sz w:val="20"/>
        </w:rPr>
        <w:t>viz/ contains fig_sd_ingroup_density.jpg, fig_sd_ingroup_item_density.jpg, and fig_item_decomp_SD_Primary_Ingroup.jpg. These were produced May 1 by scripts 45–47, then abandoned the same day after the in-group analysis was determined to be structurally non-interpretable (N = 21–51 per cell, almost certainly a survey-routing artifact). Anyone browsing viz/ might re-discover and misuse them. Recommend either deleting the JPEGs and the source scripts, or moving them to a viz/abandoned/ subfolder with a README explaining they were dropped.</w:t>
      </w:r>
    </w:p>
    <w:p>
      <w:r>
        <w:rPr>
          <w:b/>
          <w:color w:val="B45309"/>
          <w:sz w:val="20"/>
        </w:rPr>
        <w:t xml:space="preserve">[ MEDIUM ] </w:t>
      </w:r>
      <w:r>
        <w:rPr>
          <w:b/>
          <w:sz w:val="20"/>
        </w:rPr>
        <w:t>Legacy regression scripts in code/regression/ (4 files) — analysis dropped from thesis but scripts remain.</w:t>
      </w:r>
    </w:p>
    <w:p>
      <w:r>
        <w:rPr>
          <w:sz w:val="20"/>
        </w:rPr>
        <w:t>code/regression/ contains regression_analysis.py, regression_estonian.py, regression_russian.py, and visualize_regressions.py. CLAUDE.md decisions table (Mar 28) states 'Regression analysis dropped from thesis scope. Existing regression scripts in code/regression/ are legacy.' The scripts use the OLD 4-item belonging composite (also deprecated). Anyone running them will produce wrong results that look right. Recommend either deleting the directory or adding a header comment to each script that says 'DEPRECATED — uses old 4-item composite, do not run.'</w:t>
      </w:r>
    </w:p>
    <w:p>
      <w:r>
        <w:rPr>
          <w:b/>
          <w:color w:val="4B5563"/>
          <w:sz w:val="20"/>
        </w:rPr>
        <w:t xml:space="preserve">[ LOW ] </w:t>
      </w:r>
      <w:r>
        <w:rPr>
          <w:b/>
          <w:sz w:val="20"/>
        </w:rPr>
        <w:t>reports/ folder cleanliness: stray 'copy' files and Word lock files.</w:t>
      </w:r>
    </w:p>
    <w:p>
      <w:r>
        <w:rPr>
          <w:sz w:val="20"/>
        </w:rPr>
        <w:t>reports/ contains 'Blindspot_Report_2026-04-29 copy.docx', 'Effect_Sizes_with_CI copy.docx,' and Word lock files starting with '~$'. The 'copy' files are duplicates from manual file-system operations; the lock files are from open-Word artifacts. Cleanup: delete the four stray files. Also reports/old/ contains pre-Round-3 superseded reports per the Apr 29 cleanup entry — that is intentional and well-organized.</w:t>
      </w:r>
    </w:p>
    <w:p/>
    <w:p>
      <w:r>
        <w:rPr>
          <w:b/>
          <w:color w:val="1F2937"/>
          <w:sz w:val="24"/>
        </w:rPr>
        <w:t>Confirmations — what the project does well</w:t>
      </w:r>
    </w:p>
    <w:p>
      <w:pPr>
        <w:pStyle w:val="ListBullet"/>
      </w:pPr>
      <w:r>
        <w:rPr>
          <w:sz w:val="20"/>
        </w:rPr>
        <w:t>Code-correctness audit trail: Referee 2 has run three rounds (Mar 27, Mar 28, Apr 29) and the audit infrastructure (replication scripts in code/replication/, both Python and R) is mature. Round 3 passes 444/444 Python checks and 440/440 R checks. The cross-language verification is unusual for a master's thesis and should be cited as a strength.</w:t>
      </w:r>
    </w:p>
    <w:p>
      <w:pPr>
        <w:pStyle w:val="ListBullet"/>
      </w:pPr>
      <w:r>
        <w:rPr>
          <w:sz w:val="20"/>
        </w:rPr>
        <w:t>Decision provenance: every substantive analytical decision has a CLAUDE.md table entry with date and rationale, including reverse-coding choices, dropped analyses, and item exclusions. Drift can be checked against this table.</w:t>
      </w:r>
    </w:p>
    <w:p>
      <w:pPr>
        <w:pStyle w:val="ListBullet"/>
      </w:pPr>
      <w:r>
        <w:rPr>
          <w:sz w:val="20"/>
        </w:rPr>
        <w:t>Composite-construction discipline: pairwise vs. listwise rules, scale directions, and reverse-coding decisions are uniformly applied across the 8 multi-item composites. Independent recomputation matches the canonical TSV.</w:t>
      </w:r>
    </w:p>
    <w:p>
      <w:pPr>
        <w:pStyle w:val="ListBullet"/>
      </w:pPr>
      <w:r>
        <w:rPr>
          <w:sz w:val="20"/>
        </w:rPr>
        <w:t>Visualization quality: the Round 3 chart wave (composite densities, item-decomposition, item densities) gives the project a publication-grade figure inventory across all major constructs. The amber-highlight scheme for cross-direction divergent items (added May 3) is a particularly useful semantic marker.</w:t>
      </w:r>
    </w:p>
    <w:p>
      <w:pPr>
        <w:pStyle w:val="ListBullet"/>
      </w:pPr>
      <w:r>
        <w:rPr>
          <w:sz w:val="20"/>
        </w:rPr>
        <w:t>Methodological transparency: measurement-invariance testing was added even though it produces an inconvenient result (most composites fail strict scalar invariance). The willingness to publish that result rather than suppress it is a strong methodological choice.</w:t>
      </w:r>
    </w:p>
    <w:p/>
    <w:p>
      <w:r>
        <w:rPr>
          <w:b/>
          <w:color w:val="1F2937"/>
          <w:sz w:val="24"/>
        </w:rPr>
        <w:t>Consolidated Action Checklist (priority order)</w:t>
      </w:r>
    </w:p>
    <w:p>
      <w:r>
        <w:rPr>
          <w:b/>
          <w:sz w:val="22"/>
        </w:rPr>
        <w:t>Pre-submission HIGH-priority items</w:t>
      </w:r>
    </w:p>
    <w:p>
      <w:pPr>
        <w:pStyle w:val="ListBullet"/>
      </w:pPr>
      <w:r>
        <w:rPr>
          <w:sz w:val="20"/>
        </w:rPr>
        <w:t>1. Run the Russian sample-composition robustness check (Round 2 FLAG 1, now eight days open). Cross-tab age / education / region for the 2020 vs. 2023 Russian subsamples; if shifted, re-estimate within-Russian d's with covariate adjustment. Decisively closes or qualifies the 'Russian liberalization' headline.</w:t>
      </w:r>
    </w:p>
    <w:p>
      <w:pPr>
        <w:pStyle w:val="ListBullet"/>
      </w:pPr>
      <w:r>
        <w:rPr>
          <w:sz w:val="20"/>
        </w:rPr>
        <w:t>2. Add scalar-invariance caveats to BiC and Minority Support figure captions, and to the discussion-chapter prose where their within-group d's are cited.</w:t>
      </w:r>
    </w:p>
    <w:p>
      <w:pPr>
        <w:pStyle w:val="ListBullet"/>
      </w:pPr>
      <w:r>
        <w:rPr>
          <w:sz w:val="20"/>
        </w:rPr>
        <w:t>3. Add the Round 3 scripts (39–58) to build_all.py as Stage 8. Without this, the Round 3 outputs are not part of the reproducible CI gate.</w:t>
      </w:r>
    </w:p>
    <w:p>
      <w:pPr>
        <w:pStyle w:val="ListBullet"/>
      </w:pPr>
      <w:r>
        <w:rPr>
          <w:sz w:val="20"/>
        </w:rPr>
        <w:t>4. Add 4–6 entries to the CLAUDE.md decisions table covering the Round 3 wave (May 1–3). At minimum: §51 paired test, sign-reversal finding, the cross-direction divergence findings on Q68_3 and Q63_2, focused between-group chart, name change to 'Minority Inclusion Support' on charts.</w:t>
      </w:r>
    </w:p>
    <w:p>
      <w:pPr>
        <w:pStyle w:val="ListBullet"/>
      </w:pPr>
      <w:r>
        <w:rPr>
          <w:sz w:val="20"/>
        </w:rPr>
        <w:t>5. Promote the §51 sign-reversal and the two cross-direction divergence items (Q68_3, Q63_2) to stand-alone discussion-chapter results, ideally with their own subsection or table. They are the project's sharpest substantive findings and currently sit as appendix-grade outputs.</w:t>
      </w:r>
    </w:p>
    <w:p>
      <w:r>
        <w:rPr>
          <w:b/>
          <w:sz w:val="22"/>
        </w:rPr>
        <w:t>MEDIUM-priority items</w:t>
      </w:r>
    </w:p>
    <w:p>
      <w:pPr>
        <w:pStyle w:val="ListBullet"/>
      </w:pPr>
      <w:r>
        <w:rPr>
          <w:sz w:val="20"/>
        </w:rPr>
        <w:t>6. Reconcile the headline sample N in CLAUDE.md with per-composite max in the canonical TSV (706 vs. 702, 870 vs. 865, etc.). Either correct or document the difference.</w:t>
      </w:r>
    </w:p>
    <w:p>
      <w:pPr>
        <w:pStyle w:val="ListBullet"/>
      </w:pPr>
      <w:r>
        <w:rPr>
          <w:sz w:val="20"/>
        </w:rPr>
        <w:t>7. Address the Ukrainian-item exclusion explicitly in the General-out-group narrative — either plot the dropped items separately or add a scoping paragraph.</w:t>
      </w:r>
    </w:p>
    <w:p>
      <w:pPr>
        <w:pStyle w:val="ListBullet"/>
      </w:pPr>
      <w:r>
        <w:rPr>
          <w:sz w:val="20"/>
        </w:rPr>
        <w:t>8. Standardize the theoretical-claim language. Pick one phrasing (e.g., 'asymmetric attitude divergence under external shock') and use it consistently across thesis chapter, CLAUDE.md, and reports.</w:t>
      </w:r>
    </w:p>
    <w:p>
      <w:pPr>
        <w:pStyle w:val="ListBullet"/>
      </w:pPr>
      <w:r>
        <w:rPr>
          <w:sz w:val="20"/>
        </w:rPr>
        <w:t>9. Update SESSION_LOG §29 to reflect the Round 3 falsification weakening (or add a marginal note pointing to Blindspot Round 3 Flag 7).</w:t>
      </w:r>
    </w:p>
    <w:p>
      <w:pPr>
        <w:pStyle w:val="ListBullet"/>
      </w:pPr>
      <w:r>
        <w:rPr>
          <w:sz w:val="20"/>
        </w:rPr>
        <w:t>10. Add a one-paragraph contact-theory anchor (Russians' contact UP + BiC DOWN matches Allport's contact hypothesis) to the discussion.</w:t>
      </w:r>
    </w:p>
    <w:p>
      <w:pPr>
        <w:pStyle w:val="ListBullet"/>
      </w:pPr>
      <w:r>
        <w:rPr>
          <w:sz w:val="20"/>
        </w:rPr>
        <w:t>11. Add the SD: Primary public-vs-intimate gradient to the discussion as a sub-finding (Estonian Marriage d = +0.22 vs. Neighbors / Work +0.41 / +0.44).</w:t>
      </w:r>
    </w:p>
    <w:p>
      <w:pPr>
        <w:pStyle w:val="ListBullet"/>
      </w:pPr>
      <w:r>
        <w:rPr>
          <w:sz w:val="20"/>
        </w:rPr>
        <w:t>12. Document the 'Minority Inclusion Support' vs. 'Minority Support Inclusion' name split in CLAUDE.md, OR rename the canonical variable and re-run the referee2 audit.</w:t>
      </w:r>
    </w:p>
    <w:p>
      <w:r>
        <w:rPr>
          <w:b/>
          <w:sz w:val="22"/>
        </w:rPr>
        <w:t>LOW-priority housekeeping</w:t>
      </w:r>
    </w:p>
    <w:p>
      <w:pPr>
        <w:pStyle w:val="ListBullet"/>
      </w:pPr>
      <w:r>
        <w:rPr>
          <w:sz w:val="20"/>
        </w:rPr>
        <w:t>13. Delete or move-aside the orphaned in-group SD outputs (viz/fig_sd_ingroup_*.jpg and scripts 45–47).</w:t>
      </w:r>
    </w:p>
    <w:p>
      <w:pPr>
        <w:pStyle w:val="ListBullet"/>
      </w:pPr>
      <w:r>
        <w:rPr>
          <w:sz w:val="20"/>
        </w:rPr>
        <w:t>14. Add 'DEPRECATED' header comments to code/regression/*.py, or delete the directory.</w:t>
      </w:r>
    </w:p>
    <w:p>
      <w:pPr>
        <w:pStyle w:val="ListBullet"/>
      </w:pPr>
      <w:r>
        <w:rPr>
          <w:sz w:val="20"/>
        </w:rPr>
        <w:t>15. Clean up stray 'copy' files and Word lock files in reports/.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