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32"/>
        </w:rPr>
        <w:t>Blindspot Report — Round-3 Effect-Size Pipeline</w:t>
      </w:r>
    </w:p>
    <w:p>
      <w:r>
        <w:rPr>
          <w:b/>
          <w:sz w:val="20"/>
        </w:rPr>
        <w:t xml:space="preserve">Output audited: </w:t>
      </w:r>
      <w:r>
        <w:rPr>
          <w:sz w:val="20"/>
        </w:rPr>
        <w:t>code/_effect_sizes.tsv, reports/Effect_Sizes_with_CI.docx, and the five JPEG figures (fig_within_group_change, fig_between_group_gap, fig_between_group_dumbbell, fig_between_group_dumbbell_d, fig_contact_breakdown).</w:t>
      </w:r>
    </w:p>
    <w:p>
      <w:r>
        <w:rPr>
          <w:b/>
          <w:sz w:val="20"/>
        </w:rPr>
        <w:t xml:space="preserve">Stated main finding: </w:t>
      </w:r>
      <w:r>
        <w:rPr>
          <w:sz w:val="20"/>
        </w:rPr>
        <w:t>Psychological asymmetry between Estonian-majority and Russian-minority respondents, with patterns shifting between 2020 and 2023.</w:t>
      </w:r>
    </w:p>
    <w:p>
      <w:r>
        <w:rPr>
          <w:b/>
          <w:sz w:val="20"/>
        </w:rPr>
        <w:t xml:space="preserve">Date: </w:t>
      </w:r>
      <w:r>
        <w:rPr>
          <w:sz w:val="20"/>
        </w:rPr>
        <w:t>2026-04-29</w:t>
      </w:r>
    </w:p>
    <w:p/>
    <w:p>
      <w:r>
        <w:rPr>
          <w:i/>
          <w:sz w:val="20"/>
        </w:rPr>
        <w:t>The Blindspot protocol (mds/blindspot.md) is a structured perceptual audit that asks whether the author can still see what is in front of them — features in the output that have become invisible due to familiarity. It complements but does not replace the Referee 2 audit (Round 3, 2026-04-29) which checked whether the code is correct. Both have been run on this analysis.</w:t>
      </w:r>
    </w:p>
    <w:p/>
    <w:p>
      <w:r>
        <w:rPr>
          <w:b/>
          <w:sz w:val="24"/>
        </w:rPr>
        <w:t>Vice 1 — The Unexplained Feature</w:t>
      </w:r>
    </w:p>
    <w:p>
      <w:r>
        <w:rPr>
          <w:i/>
          <w:sz w:val="20"/>
        </w:rPr>
        <w:t>Features in the output that don't fit the preferred narrative or were never addressed. 14 features were inspected. Each is marked DONE (explained) or FLAG (open question).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Superordinate Identity 2023 between-group gap narrowed (1.08 → 0.79) without either group's mean changing meaningfully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FLAG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Russian SDs increased on Superordinate Identity (0.66 → 0.79) and Group ID (0.81 → 0.84) — the Russian community's responses became more dispersed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FLAG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Russians SIMULTANEOUSLY increased contact with Estonians (d=+0.51) AND increased belief in inevitable conflict (d=+0.32) — direction-of-effect contradicts contact theory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FLAG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Estonian SD: Primary Out-group jumped d=+0.42 — the only composite where Estonians moved AWAY from Russian-speakers — while simultaneously becoming more accepting of OTHER out-groups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FLAG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Comparative Opportunity moved in the SAME direction for both groups (both d≈−0.30) — partial CONVERGENCE in perceived structural fairness, undersold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SD: General 2023 between p = .049, CI [−0.001, +0.218] — significance hangs on the third decimal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Contact: Out-group 2020 between p=.054 ns, 2023 between p&lt;.0001 *** — appearance of significance driven by Russian movement, not Estonian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Russian within-group shift on Q51_1 (work/school contact) is −1.07 on a 1-5 scale — far larger than any other item-level shift in the dataset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FLAG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Estonian Territorial Attachment mean is 3.76/3.77 on a 1-4 scale — at ceiling. Within-group stability partly an artifact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FLAG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Group ID Patterns 2023 between gap halved — Russians moved to dual identity (2.69 → 2.81); Estonians flat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Belief in Inevitable Conflict 2020 SDs equal across groups (0.57 each); 2023 SDs diverge (Est 0.67, Rus 0.58) — Estonians' beliefs DISPERSED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FLAG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Contact: Russian Speakers between-group gap is 2.25 SD — largest effect in the entire study, stable across both years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2023 sample's ETHNIC COMPOSITION shifted: Russian share 46% (609/1315) → 38% (522/1392)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FLAG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Russian DK rate on Q66 / K6X4 (Group ID) edged from 3.0% → 4.6% — small but present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DONE</w:t>
            </w:r>
          </w:p>
        </w:tc>
      </w:tr>
    </w:tbl>
    <w:p/>
    <w:p>
      <w:r>
        <w:rPr>
          <w:b/>
          <w:sz w:val="22"/>
        </w:rPr>
        <w:t>Hardest feature to explain under the preferred narrative</w:t>
      </w:r>
    </w:p>
    <w:p>
      <w:r>
        <w:rPr>
          <w:sz w:val="20"/>
        </w:rPr>
        <w:t>Russians simultaneously increasing cross-group contact AND increasing belief in inevitable conflict (item #3 above). Standard intergroup contact theory (Allport 1954, Pettigrew &amp; Tropp 2006) predicts contact should reduce conflict perception — not increase it. Russian Q51_1 (contact with Estonian-speakers at work/school) jumped from 3.02 → 1.96 on a 1-5 scale (≈1 SD shift), AND Russian Belief in Inevitable Conflict rose from 3.03 → 3.21 (d=+0.32 ***).</w:t>
      </w:r>
    </w:p>
    <w:p>
      <w:r>
        <w:rPr>
          <w:sz w:val="20"/>
        </w:rPr>
        <w:t>The most plausible reconciliation is that the contact is institutional/coercive rather than voluntary. Estonia announced its language reform — making Estonian the primary language of instruction — in 2022, with phase-in starting 2024. This forces contact in work/school contexts. Forced contact under perceived threat does NOT reduce prejudice; in some specifications it amplifies it (Pettigrew 2008 on conditional contact effects). The war in Ukraine (Feb 2022) is a plausible third variable driving both.</w:t>
      </w:r>
    </w:p>
    <w:p>
      <w:r>
        <w:rPr>
          <w:i/>
          <w:sz w:val="20"/>
        </w:rPr>
        <w:t>Resolved? FLAG — needs explicit treatment in the interpretation chapter.</w:t>
      </w:r>
    </w:p>
    <w:p/>
    <w:p>
      <w:r>
        <w:rPr>
          <w:b/>
          <w:sz w:val="24"/>
        </w:rPr>
        <w:t>Vice 2 — The Convenient Absence</w:t>
      </w:r>
    </w:p>
    <w:p>
      <w:r>
        <w:rPr>
          <w:i/>
          <w:sz w:val="20"/>
        </w:rPr>
        <w:t>What's missing that should be there. The dog that didn't bark.</w:t>
      </w:r>
    </w:p>
    <w:p>
      <w:r>
        <w:rPr>
          <w:b/>
          <w:sz w:val="22"/>
        </w:rPr>
        <w:t>Missing checks</w:t>
      </w:r>
    </w:p>
    <w:p>
      <w:pPr>
        <w:pStyle w:val="ListBullet"/>
      </w:pPr>
      <w:r>
        <w:rPr>
          <w:sz w:val="20"/>
        </w:rPr>
        <w:t>No subgroup analysis. ethnicity_binary, parents_birthplace, edu_language are derived in scripts 01–03 but the comparison tables collapse everything to ethnic group. Russian-school graduates probably look very different from Estonian-school graduates — published-paper-grade moderator left untouched.</w:t>
      </w:r>
    </w:p>
    <w:p>
      <w:pPr>
        <w:pStyle w:val="ListBullet"/>
      </w:pPr>
      <w:r>
        <w:rPr>
          <w:sz w:val="20"/>
        </w:rPr>
        <w:t>No geographic split. Russian-speakers in Estonia are concentrated in Ida-Virumaa. Effects could be driven by that region or attenuated by it. T4/T5 (settlement type / county) are in the codebook.</w:t>
      </w:r>
    </w:p>
    <w:p>
      <w:pPr>
        <w:pStyle w:val="ListBullet"/>
      </w:pPr>
      <w:r>
        <w:rPr>
          <w:sz w:val="20"/>
        </w:rPr>
        <w:t>No age × wave interaction. Younger Russians may be moving toward integration; older Russians may not. Headline d collapses both.</w:t>
      </w:r>
    </w:p>
    <w:p>
      <w:pPr>
        <w:pStyle w:val="ListBullet"/>
      </w:pPr>
      <w:r>
        <w:rPr>
          <w:sz w:val="20"/>
        </w:rPr>
        <w:t>No analysis of the Ukrainian-refugee items (Q57_3, Q58_3, Q59_3). Excluded from SD: General with good reason — but the asymmetric Russian negativity toward Ukrainian refugees is itself a substantive finding currently buried.</w:t>
      </w:r>
    </w:p>
    <w:p>
      <w:pPr>
        <w:pStyle w:val="ListBullet"/>
      </w:pPr>
      <w:r>
        <w:rPr>
          <w:sz w:val="20"/>
        </w:rPr>
        <w:t>No measurement invariance testing across waves or groups. PCA + α validate composites separately by group, but invariance across time/group has not been tested. Without it, d values across groups/waves may not be psychometrically comparable.</w:t>
      </w:r>
    </w:p>
    <w:p>
      <w:pPr>
        <w:pStyle w:val="ListBullet"/>
      </w:pPr>
      <w:r>
        <w:rPr>
          <w:sz w:val="20"/>
        </w:rPr>
        <w:t>No pre-trend. Two waves means no test of whether 2020→2023 changes are continuation or discontinuity. Acknowledge as a limitation.</w:t>
      </w:r>
    </w:p>
    <w:p>
      <w:pPr>
        <w:pStyle w:val="ListBullet"/>
      </w:pPr>
      <w:r>
        <w:rPr>
          <w:sz w:val="20"/>
        </w:rPr>
        <w:t>No distributional plots. Means hide the polarization signal flagged in Vice 1 #2 and #11.</w:t>
      </w:r>
    </w:p>
    <w:p>
      <w:r>
        <w:rPr>
          <w:b/>
          <w:sz w:val="22"/>
        </w:rPr>
        <w:t>Unexplained N changes</w:t>
      </w:r>
    </w:p>
    <w:p>
      <w:pPr>
        <w:pStyle w:val="ListBullet"/>
      </w:pPr>
      <w:r>
        <w:rPr>
          <w:sz w:val="20"/>
        </w:rPr>
        <w:t>Russian sample DROPPED from 609 → 522 (−14%) while total survey size grew slightly. Estonian share grew from 706 → 870 (+23%). 2023 sample is structurally less Russian. Whatever the cause (out-migration after Feb 2022, survey targeting, differential response), this is currently undocumented and matters because if 2023 Russians are a self-selected subset, within-group comparisons confound true attitude change with sample composition change.</w:t>
      </w:r>
    </w:p>
    <w:p/>
    <w:p>
      <w:r>
        <w:rPr>
          <w:b/>
          <w:sz w:val="24"/>
        </w:rPr>
        <w:t>Virtue 1 — The Unasked Question</w:t>
      </w:r>
    </w:p>
    <w:p>
      <w:r>
        <w:rPr>
          <w:i/>
          <w:sz w:val="20"/>
        </w:rPr>
        <w:t>A pattern in the output that suggests something more interesting than the headline finding.</w:t>
      </w:r>
    </w:p>
    <w:p>
      <w:r>
        <w:rPr>
          <w:b/>
          <w:sz w:val="22"/>
        </w:rPr>
        <w:t>Heterogeneity opportunities</w:t>
      </w:r>
    </w:p>
    <w:p>
      <w:pPr>
        <w:pStyle w:val="ListBullet"/>
      </w:pPr>
      <w:r>
        <w:rPr>
          <w:sz w:val="20"/>
        </w:rPr>
        <w:t>The Russian community is plausibly fragmenting along the war. Increasing within-Russian SDs on identity measures (Vice 1 items #2 and #11) is the signature of polarization. If a density plot reveals bimodality, the headline 'Russians are integrating' splits into 'some Russians are integrating, others are pulling away.'</w:t>
      </w:r>
    </w:p>
    <w:p>
      <w:r>
        <w:rPr>
          <w:b/>
          <w:sz w:val="22"/>
        </w:rPr>
        <w:t>Mechanism evidence</w:t>
      </w:r>
    </w:p>
    <w:p>
      <w:pPr>
        <w:pStyle w:val="ListBullet"/>
      </w:pPr>
      <w:r>
        <w:rPr>
          <w:sz w:val="20"/>
        </w:rPr>
        <w:t>The contact breakdown chart already pointed at the mechanism, but the thesis hasn't claimed it. Russian Q51_1 shift of −1.07 (work/school contact) is roughly 4× the next largest within-group item shift. The signal is screaming 'institutional contact via the Estonian-language education reform announced in 2022.' The thesis can frame this as a natural-experiment finding about the boundary conditions of intergroup contact theory.</w:t>
      </w:r>
    </w:p>
    <w:p>
      <w:r>
        <w:rPr>
          <w:b/>
          <w:sz w:val="22"/>
        </w:rPr>
        <w:t>Secondary findings</w:t>
      </w:r>
    </w:p>
    <w:p>
      <w:pPr>
        <w:pStyle w:val="ListBullet"/>
      </w:pPr>
      <w:r>
        <w:rPr>
          <w:sz w:val="20"/>
        </w:rPr>
        <w:t>Estonian selective rejection. Estonians became more open to general out-groups (d=−0.23) and more closed specifically to Russian-speakers (d=+0.42). This is not 'Estonians becoming nationalist' — it's 'Estonians becoming MORE selective in their out-group acceptance, with Russian-speakers as the specifically rejected category.'</w:t>
      </w:r>
    </w:p>
    <w:p>
      <w:pPr>
        <w:pStyle w:val="ListBullet"/>
      </w:pPr>
      <w:r>
        <w:rPr>
          <w:sz w:val="20"/>
        </w:rPr>
        <w:t>Convergence on perceived structural fairness. Both groups perceive LESS Estonian advantage in 2023 than in 2020 — same direction, similar magnitude (d ≈ −0.30 each). Convergence not currently in the headline.</w:t>
      </w:r>
    </w:p>
    <w:p>
      <w:r>
        <w:rPr>
          <w:b/>
          <w:sz w:val="22"/>
        </w:rPr>
        <w:t>Is there a paper inside this paper?</w:t>
      </w:r>
    </w:p>
    <w:p>
      <w:pPr>
        <w:pStyle w:val="ListBullet"/>
      </w:pPr>
      <w:r>
        <w:rPr>
          <w:sz w:val="20"/>
        </w:rPr>
        <w:t>Yes — the institutional-contact paper. 'Forced linguistic contact under conditions of geopolitical threat: Russian-Estonian relations 2020-2023.' A specific theoretical contribution to contact theory's boundary conditions, broader than a thesis chapter, plausibly publishable.</w:t>
      </w:r>
    </w:p>
    <w:p/>
    <w:p>
      <w:r>
        <w:rPr>
          <w:b/>
          <w:sz w:val="24"/>
        </w:rPr>
        <w:t>Virtue 2 — The Unexploited Strength</w:t>
      </w:r>
    </w:p>
    <w:p>
      <w:r>
        <w:rPr>
          <w:i/>
          <w:sz w:val="20"/>
        </w:rPr>
        <w:t>Something about the design, data, or results that the author is underselling.</w:t>
      </w:r>
    </w:p>
    <w:p>
      <w:r>
        <w:rPr>
          <w:b/>
          <w:sz w:val="22"/>
        </w:rPr>
        <w:t>Undersold design features</w:t>
      </w:r>
    </w:p>
    <w:p>
      <w:pPr>
        <w:pStyle w:val="ListBullet"/>
      </w:pPr>
      <w:r>
        <w:rPr>
          <w:sz w:val="20"/>
        </w:rPr>
        <w:t>The 2020-2023 wave structure spans Feb 24, 2022. The war is exogenous to Estonian intergroup attitudes. This is essentially a natural before/after of an unprecedented external shock. The thesis currently presents this as cross-sectional comparison; it could be reframed as quasi-experimental.</w:t>
      </w:r>
    </w:p>
    <w:p>
      <w:pPr>
        <w:pStyle w:val="ListBullet"/>
      </w:pPr>
      <w:r>
        <w:rPr>
          <w:sz w:val="20"/>
        </w:rPr>
        <w:t>The Round-3 audit-grade replication infrastructure: 444/444 Python checks, 440/440 R cross-language checks, full audit report. Rare in master's theses, sometimes absent from published papers. Worth a methods-chapter paragraph.</w:t>
      </w:r>
    </w:p>
    <w:p>
      <w:pPr>
        <w:pStyle w:val="ListBullet"/>
      </w:pPr>
      <w:r>
        <w:rPr>
          <w:sz w:val="20"/>
        </w:rPr>
        <w:t>The pairwise-deletion methodology is documented and audited. Reviewers who object to pairwise can be answered with the audit; this is a strength not currently highlighted.</w:t>
      </w:r>
    </w:p>
    <w:p>
      <w:r>
        <w:rPr>
          <w:b/>
          <w:sz w:val="22"/>
        </w:rPr>
        <w:t>Unused falsification tests</w:t>
      </w:r>
    </w:p>
    <w:p>
      <w:pPr>
        <w:pStyle w:val="ListBullet"/>
      </w:pPr>
      <w:r>
        <w:rPr>
          <w:sz w:val="20"/>
        </w:rPr>
        <w:t>A placebo across non-Russian-speaker out-groups: if the Estonian SD: Primary shift is real war-driven anti-Russian-speaker hostility, then SD toward NON-Russian out-groups should NOT show the same shift. The data already say this — Estonian SD: General WENT THE OTHER WAY (d=−0.23, MORE accepting). This IS the falsification test, and it passes — but is currently buried. Calling this out turns 'Estonians moved' into 'Estonians selectively moved AGAINST Russian-speakers specifically, not against out-groups in general — exactly what a war-shock interpretation predicts.'</w:t>
      </w:r>
    </w:p>
    <w:p>
      <w:r>
        <w:rPr>
          <w:b/>
          <w:sz w:val="22"/>
        </w:rPr>
        <w:t>Positioning opportunities</w:t>
      </w:r>
    </w:p>
    <w:p>
      <w:pPr>
        <w:pStyle w:val="ListBullet"/>
      </w:pPr>
      <w:r>
        <w:rPr>
          <w:sz w:val="20"/>
        </w:rPr>
        <w:t>Possible reframe: from 'psychological asymmetry' to 'cross-group attitude divergence under forced contact: how Russia's invasion of Ukraine and Estonia's institutional response reshaped intergroup relations.'</w:t>
      </w:r>
    </w:p>
    <w:p/>
    <w:p>
      <w:r>
        <w:rPr>
          <w:b/>
          <w:sz w:val="24"/>
        </w:rPr>
        <w:t>Ruling</w:t>
      </w:r>
    </w:p>
    <w:p>
      <w:r>
        <w:rPr>
          <w:b/>
          <w:sz w:val="22"/>
        </w:rPr>
        <w:t xml:space="preserve">CONDITIONAL — proceed but acknowledge open questions explicitly. </w:t>
      </w:r>
      <w:r>
        <w:rPr>
          <w:sz w:val="20"/>
        </w:rPr>
        <w:t>No fatal vices, but two FLAGs are substantive enough that the interpretation chapter should address them explicitly.</w:t>
      </w:r>
    </w:p>
    <w:p/>
    <w:p>
      <w:r>
        <w:rPr>
          <w:b/>
          <w:sz w:val="22"/>
        </w:rPr>
        <w:t>FLAGs requiring explicit interpretation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Flag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8"/>
              </w:rPr>
              <w:t>Recommended action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Russian sample composition shift (609 → 522, −14%)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Document explicitly. Run robustness check (region weights, age weights), or at minimum acknowledge.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Contact ↑ + Conflict-belief ↑ paradox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Frame as institutional/coercive contact via the 2022 language reform. Cite Pettigrew's conditional-contact-effects literature.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Within-Russian SD increases (polarization signal)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Add density plots. If bimodality is visible, the 'Russians integrating' framing must be split.</w:t>
            </w:r>
          </w:p>
        </w:tc>
      </w:tr>
    </w:tbl>
    <w:p/>
    <w:p>
      <w:r>
        <w:rPr>
          <w:b/>
          <w:sz w:val="22"/>
        </w:rPr>
        <w:t>Recommended additions (low-cost, high-yield)</w:t>
      </w:r>
    </w:p>
    <w:p>
      <w:pPr>
        <w:pStyle w:val="ListBullet"/>
      </w:pPr>
      <w:r>
        <w:rPr>
          <w:sz w:val="20"/>
        </w:rPr>
        <w:t>Density plot for Russian Superordinate Identity 2020 vs 2023 — addresses polarization question directly.</w:t>
      </w:r>
    </w:p>
    <w:p>
      <w:pPr>
        <w:pStyle w:val="ListBullet"/>
      </w:pPr>
      <w:r>
        <w:rPr>
          <w:sz w:val="20"/>
        </w:rPr>
        <w:t>Subgroup analysis by edu_language for Russian respondents — separates Russian-school graduates from those with Estonian-school exposure.</w:t>
      </w:r>
    </w:p>
    <w:p>
      <w:pPr>
        <w:pStyle w:val="ListBullet"/>
      </w:pPr>
      <w:r>
        <w:rPr>
          <w:sz w:val="20"/>
        </w:rPr>
        <w:t>Acknowledge the Russian sample-size drop in the methods chapter; present at least one robustness statement.</w:t>
      </w:r>
    </w:p>
    <w:p>
      <w:r>
        <w:rPr>
          <w:b/>
          <w:sz w:val="22"/>
        </w:rPr>
        <w:t>Reframings worth considering</w:t>
      </w:r>
    </w:p>
    <w:p>
      <w:pPr>
        <w:pStyle w:val="ListBullet"/>
      </w:pPr>
      <w:r>
        <w:rPr>
          <w:sz w:val="20"/>
        </w:rPr>
        <w:t>From 'psychological asymmetry' → 'asymmetric attitude divergence under external shock'.</w:t>
      </w:r>
    </w:p>
    <w:p>
      <w:pPr>
        <w:pStyle w:val="ListBullet"/>
      </w:pPr>
      <w:r>
        <w:rPr>
          <w:sz w:val="20"/>
        </w:rPr>
        <w:t>Estonian SD: Primary vs SD: General contrast IS the falsification test for a war-driven mechanism — promote it from a row in a table to a key finding.</w:t>
      </w:r>
    </w:p>
    <w:p>
      <w:pPr>
        <w:pStyle w:val="ListBullet"/>
      </w:pPr>
      <w:r>
        <w:rPr>
          <w:sz w:val="20"/>
        </w:rPr>
        <w:t>Both groups converging on Comparative Opportunity is an underplayed parallel result — worth a sentence.</w:t>
      </w:r>
    </w:p>
    <w:p/>
    <w:p>
      <w:r>
        <w:rPr>
          <w:i/>
          <w:sz w:val="18"/>
        </w:rPr>
        <w:t>— Blindspot, 2026-04-29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