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32"/>
        </w:rPr>
        <w:t>Blindspot Report — Post-Round-2 Outputs</w:t>
      </w:r>
    </w:p>
    <w:p>
      <w:r>
        <w:rPr>
          <w:b/>
          <w:sz w:val="20"/>
        </w:rPr>
        <w:t xml:space="preserve">Outputs audited: </w:t>
      </w:r>
      <w:r>
        <w:rPr>
          <w:sz w:val="20"/>
        </w:rPr>
        <w:t>(1) §33 measurement-invariance pipeline (code/36/37/38, _invariance_results.tsv); (2) the 2026-05-01 / 2026-05-02 composite-density, item-decomposition, and item-density figures for Minority Support, SD: Primary Out-group, and SD: General Out-group (scripts 39–50); (3) the §51 paired Estonian Primary-vs-General test (code/51, viz/fig_sd_primary_vs_general_*.jpg); (4) the group-organized comparison figures (scripts 54-55).</w:t>
      </w:r>
    </w:p>
    <w:p>
      <w:r>
        <w:rPr>
          <w:b/>
          <w:sz w:val="20"/>
        </w:rPr>
        <w:t xml:space="preserve">Stated narrative arc since Round 2: </w:t>
      </w:r>
      <w:r>
        <w:rPr>
          <w:sz w:val="20"/>
        </w:rPr>
        <w:t>(A) Estonian community is fragmenting on multiple intergroup dimensions while Russian community is broadly liberalizing; (B) Estonians' attitudinal shift is selectively targeted at Russian-speakers, not at out-groups in general — supported by the §51 sign-reversal of Estonian Primary vs. General SD.</w:t>
      </w:r>
    </w:p>
    <w:p>
      <w:r>
        <w:rPr>
          <w:b/>
          <w:sz w:val="20"/>
        </w:rPr>
        <w:t xml:space="preserve">Date: </w:t>
      </w:r>
      <w:r>
        <w:rPr>
          <w:sz w:val="20"/>
        </w:rPr>
        <w:t>2026-05-02</w:t>
      </w:r>
    </w:p>
    <w:p/>
    <w:p>
      <w:r>
        <w:rPr>
          <w:i/>
          <w:sz w:val="20"/>
        </w:rPr>
        <w:t>The Blindspot protocol is a structured perceptual audit that asks whether the author can still see what is in front of them — features in the output that have become invisible due to familiarity. It complements but does not replace the Referee 2 audit (Round 3, 2026-04-29) which checked whether the code is correct. This Round 3 Blindspot focuses on outputs produced between 2026-04-30 and 2026-05-02 — measurement invariance plus the new wave of distribution-shape visualizations and the Estonian Primary-vs-General sign-reversal claim.</w:t>
      </w:r>
    </w:p>
    <w:p>
      <w:r>
        <w:rPr>
          <w:b/>
          <w:sz w:val="24"/>
        </w:rPr>
        <w:t>Overall Verdict</w:t>
      </w:r>
    </w:p>
    <w:p>
      <w:r>
        <w:rPr>
          <w:sz w:val="20"/>
        </w:rPr>
        <w:t>CONDITIONAL — three substantive findings stand on solid measurement footing, two depend on a measurement caveat that has been documented but not yet propagated into the figure narratives, and one item-level pattern is being underplayed in the current write-up. No data-coding errors, no falsified claims. The single most important action item is to flag SD: General's item-set change explicitly wherever the within-General d's are cited, because the 'Russian liberalization' story leans heavily on a within-General d that is partially confounded with construct change.</w:t>
      </w:r>
    </w:p>
    <w:p>
      <w:r>
        <w:rPr>
          <w:b/>
          <w:sz w:val="24"/>
        </w:rPr>
        <w:t>FLAG 1 — Sign-reversal claim: solid on the Primary side, leakier on the General side</w:t>
      </w:r>
    </w:p>
    <w:p>
      <w:r>
        <w:rPr>
          <w:sz w:val="20"/>
        </w:rPr>
        <w:t>The §51 paired test established a striking sign-reversal in Estonian respondents: in 2020 Estonians rated Russian-speakers as LESS socially distant than 'new immigrants' (M_Pri = 2.51 &lt; M_Gen = 2.91, d_z = −0.47, ***); in 2023 the rank order flipped (M_Pri = 2.92 &gt; M_Gen = 2.70, d_z = +0.24, ***). The within-year paired tests are clean, and the §54 visualization makes the reversal immediately visible. This is a strong finding.</w:t>
      </w:r>
    </w:p>
    <w:p>
      <w:r>
        <w:rPr>
          <w:sz w:val="20"/>
        </w:rPr>
        <w:t>The vulnerability is in how the reversal is being attributed. The current narrative treats both halves of the swing as substantive: Estonians became MORE distant from Russian-speakers AND MORE accepting of generic out-groups. The first half is well-supported — within-Estonian SD: Primary d = +0.42 *** is built on items that hold scalar measurement invariance longitudinally (per §33: Δχ²(2) = 4.5, ΔCFI = −0.002, ΔRMSEA = +0.0075 — well within Cheung &amp; Rensvold thresholds). The second half — within-Estonian SD: General d = −0.23 — compares a 3-item 'new immigrants' battery in 2020 against a 6-item 'other Europeans + non-Europeans' battery in 2023. CLAUDE.md flags this as 'cross-year measures different construct.' This caveat is missing from the §51 / §54 / §55 writeups.</w:t>
      </w:r>
    </w:p>
    <w:p>
      <w:r>
        <w:rPr>
          <w:sz w:val="20"/>
        </w:rPr>
        <w:t>Recommended reframing: present the falsification claim as one-sided. 'Estonians selectively hardened toward Russian-speakers' is well-supported. 'Estonians simultaneously liberalized toward generic out-groups' rests on a non-comparable construct and should be qualified or demoted to a methods-chapter footnote. The cleanest version of the sign-reversal claim is: 'In 2020, the rank order Primary &lt; General held (Estonians regarded Russian-speakers as more socially proximate than abstract immigrants). In 2023, the Primary distribution had moved past the General distribution. The Primary-side movement is the substantive driver; the General-side movement may reflect both attitudinal shift and construct re-specification.'</w:t>
      </w:r>
    </w:p>
    <w:p>
      <w:r>
        <w:rPr>
          <w:b/>
          <w:sz w:val="24"/>
        </w:rPr>
        <w:t>FLAG 2 — Measurement-invariance caveats are documented but not propagated to figure narratives</w:t>
      </w:r>
    </w:p>
    <w:p>
      <w:r>
        <w:rPr>
          <w:sz w:val="20"/>
        </w:rPr>
        <w:t>§33 measurement-invariance testing established that scalar invariance HOLDS for SD: Primary Out-group longitudinally (both groups), but FAILS for Belief in Inevitable Conflict, Minority Support Inclusion, and most other composites under longitudinal and multi-group comparison (8 HOLDS, 2 PARTIAL, 18 FAILS across 28 comparisons). The substantive implication — that some portion of the observed group-level d's may reflect intercept variation rather than purely attitudinal differences — was filed in the methods documentation. It has not made its way into how the recent figures are being interpreted.</w:t>
      </w:r>
    </w:p>
    <w:p>
      <w:r>
        <w:rPr>
          <w:sz w:val="20"/>
        </w:rPr>
        <w:t>Specific cases where this matters:</w:t>
      </w:r>
    </w:p>
    <w:p>
      <w:r>
        <w:rPr>
          <w:b/>
          <w:sz w:val="22"/>
        </w:rPr>
        <w:t>(a) BiC within-Russian d = −0.32 *** ('Russians decreased belief in inevitable conflict')</w:t>
      </w:r>
    </w:p>
    <w:p>
      <w:r>
        <w:rPr>
          <w:sz w:val="20"/>
        </w:rPr>
        <w:t>Longitudinal scalar invariance FAILS for Russians (Δχ²(3) = 28.7, p &lt; .001, ΔCFI = −0.046). The 'Russians decreased conflict belief' claim — central to dissolving the §29 paradox — is robust to direction (the recoding was independently verified) but not strictly comparable as a latent-mean difference. Worth noting in the chapter.</w:t>
      </w:r>
    </w:p>
    <w:p>
      <w:r>
        <w:rPr>
          <w:b/>
          <w:sz w:val="22"/>
        </w:rPr>
        <w:t>(b) Minority Support Inclusion within-Estonian d = −0.15 ** and within-Russian d = +0.04 (ns)</w:t>
      </w:r>
    </w:p>
    <w:p>
      <w:r>
        <w:rPr>
          <w:sz w:val="20"/>
        </w:rPr>
        <w:t>Longitudinal scalar invariance FAILS for both groups. The 'Russians stayed flat / Estonians modestly declined' framing rests on score differences whose measurement-intercept comparability is not established. The item-level decomposition partially compensates (it shows specific items drove the Estonian decline), but composite-level interpretation should be qualified.</w:t>
      </w:r>
    </w:p>
    <w:p>
      <w:r>
        <w:rPr>
          <w:b/>
          <w:sz w:val="22"/>
        </w:rPr>
        <w:t>(c) SD: Primary Out-group within-Estonian d = +0.42 ***  ←  exception worth highlighting</w:t>
      </w:r>
    </w:p>
    <w:p>
      <w:r>
        <w:rPr>
          <w:sz w:val="20"/>
        </w:rPr>
        <w:t>Longitudinal scalar invariance HOLDS for both groups. This is the rare composite where a strong claim about latent attitude change can be made with confidence. The fact that the headline Round-3 finding (Estonians selectively hardened toward Russian-speakers) sits on the most measurement-robust composite in the project is a lucky alignment that should be cited as supporting evidence rather than left implicit.</w:t>
      </w:r>
    </w:p>
    <w:p>
      <w:r>
        <w:rPr>
          <w:b/>
          <w:sz w:val="24"/>
        </w:rPr>
        <w:t>FLAG 3 — Russian sample composition shift (609 → ~520) still unresolved</w:t>
      </w:r>
    </w:p>
    <w:p>
      <w:r>
        <w:rPr>
          <w:sz w:val="20"/>
        </w:rPr>
        <w:t>Round 2 (§29 FLAG 1) raised that the Russian respondent N dropped from 609 (2020) to ~520 (2023, varies slightly by composite due to DK patterns), and that this shift was undocumented. Eight days later, no robustness check has been performed. The 'Russians broadly liberalized' narrative — built on within-Russian d's of −0.32 (BiC), −0.56 (SD General), +0.04 (Minority Support stable), and −0.07 (SD Primary stable) — is potentially compositional rather than attitudinal: if more conservative Russian respondents selectively dropped out between waves, every within-Russian estimate is biased in the liberalizing direction.</w:t>
      </w:r>
    </w:p>
    <w:p>
      <w:r>
        <w:rPr>
          <w:sz w:val="20"/>
        </w:rPr>
        <w:t>The Round 2 Russian-edu-pathway robustness check (§31) addressed within-2023 sub-group consistency, but does not test whether 2020 and 2023 Russian respondents are demographically comparable. The minimum useful check is: (i) cross-tab age, education, and region for the Russian sub-sample in 2020 vs. 2023; (ii) if a noticeable shift exists, re-estimate the within-Russian d's with post-stratification weights or a covariate-adjustment regression. This has been pending since April 29 and should be closed before any of the within-Russian narratives are committed to the thesis chapter.</w:t>
      </w:r>
    </w:p>
    <w:p>
      <w:r>
        <w:rPr>
          <w:b/>
          <w:sz w:val="24"/>
        </w:rPr>
        <w:t>FLAG 4 — The Ukrainian dimension is structurally absent from the General out-group story</w:t>
      </w:r>
    </w:p>
    <w:p>
      <w:r>
        <w:rPr>
          <w:sz w:val="20"/>
        </w:rPr>
        <w:t>The 2020 → 2023 General Out-group shift — within-Russian d = −0.56 ***, within-Estonian d = −0.23 *** — is being reported as 'both groups became more accepting of general out-groups.' Two structural facts complicate this narrative:</w:t>
      </w:r>
    </w:p>
    <w:p>
      <w:pPr>
        <w:pStyle w:val="ListBullet"/>
      </w:pPr>
      <w:r>
        <w:rPr>
          <w:sz w:val="20"/>
        </w:rPr>
        <w:t>The 2020 'new immigrants in last 5 years' item was administered in a period when Estonia had very few new immigrants. It measured an abstract category.</w:t>
      </w:r>
    </w:p>
    <w:p>
      <w:pPr>
        <w:pStyle w:val="ListBullet"/>
      </w:pPr>
      <w:r>
        <w:rPr>
          <w:sz w:val="20"/>
        </w:rPr>
        <w:t>The 2023 General battery measures 'other Europeans + non-Europeans' — and explicitly EXCLUDES the Ukrainian items per the 2026-03-23 decision (Russians held asymmetrically negative views of Ukrainian refugees, which masked otherwise positive general-out-group attitudes).</w:t>
      </w:r>
    </w:p>
    <w:p>
      <w:r>
        <w:rPr>
          <w:sz w:val="20"/>
        </w:rPr>
        <w:t>The exclusion was methodologically defensible. But it means the 'Russians liberalized toward general out-groups' claim is partial: Russians liberalized toward generic Europeans and non-Europeans, while remaining notably more negative than Estonians toward the most salient post-2022 immigrant population. A reader unfamiliar with the methods will mis-read the General SD decline as a generalized softening of attitudes — which the underlying data do not support. The Ukrainian item-level distributions are sitting in the data and could be plotted separately to make this asymmetry visible without contaminating the composite.</w:t>
      </w:r>
    </w:p>
    <w:p>
      <w:r>
        <w:rPr>
          <w:b/>
          <w:sz w:val="24"/>
        </w:rPr>
        <w:t>FLAG 5 — Item 3 'Understand opinions' shows an asymmetric within-group divergence that has not been pursued</w:t>
      </w:r>
    </w:p>
    <w:p>
      <w:r>
        <w:rPr>
          <w:sz w:val="20"/>
        </w:rPr>
        <w:t>From the Minority Support item-level decomposition (script 40, May 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Within Estonian d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Within Russian d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Q68_1 'Involve in economy'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−0.01 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+0.05 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stable both sides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Q68_2 'Involve in governance'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−0.18 ***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−0.08 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Estonians declined modestly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Q68_3 'Understand opinions'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−0.16 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+0.23 ***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DIVERGENT — only opposite-sign item</w:t>
            </w:r>
          </w:p>
        </w:tc>
      </w:tr>
    </w:tbl>
    <w:p>
      <w:r>
        <w:rPr>
          <w:sz w:val="20"/>
        </w:rPr>
        <w:t>Item 3 is the only Minority Support item where Estonian and Russian respondents moved in OPPOSITE directions, both significantly. The substantive interpretation is striking: 'understanding the opinions of other nationalities' grew more important to Russians while becoming less of a priority to Estonians. From each group's own perspective, this means Russians became more open to understanding Estonian-language society while Estonians became less open to understanding Russian-language society. This is exactly the asymmetric divergence pattern that the headline Estonian-vs-Russian narrative would predict — and yet it sits in a single item-level row of an appendix figure, not in the main results discussion.</w:t>
      </w:r>
    </w:p>
    <w:p>
      <w:r>
        <w:rPr>
          <w:sz w:val="20"/>
        </w:rPr>
        <w:t>Recommended action: promote Q68_3 to a stand-alone result. The item is conceptually closer to 'cultural curiosity' / 'cross-language receptiveness' than the other two governance/economy items, and the divergence is qualitatively different from the broader fragmentation pattern. Worth a paragraph in the discussion.</w:t>
      </w:r>
    </w:p>
    <w:p>
      <w:r>
        <w:rPr>
          <w:b/>
          <w:sz w:val="24"/>
        </w:rPr>
        <w:t>FLAG 6 — Within-Estonian SD: Primary movement is concentrated in PUBLIC contexts, not the most intimate one</w:t>
      </w:r>
    </w:p>
    <w:p>
      <w:r>
        <w:rPr>
          <w:sz w:val="20"/>
        </w:rPr>
        <w:t>From the SD: Primary item-level decomposition (script 43, May 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Within Estonian d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Within Russian 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+0.41 ***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−0.04 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Work / study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+0.44 ***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−0.01 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Marriage in family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+0.22 ***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−0.11 (p=.08)</w:t>
            </w:r>
          </w:p>
        </w:tc>
      </w:tr>
    </w:tbl>
    <w:p>
      <w:r>
        <w:rPr>
          <w:sz w:val="20"/>
        </w:rPr>
        <w:t>Estonians' increased social distance from Russian-speakers is half as large at the most intimate social-distance item (marriage in family) as at the public-civic items (neighbors, work/study). This asymmetry is consistent with two interpretations: (i) the shift is largely a public-life phenomenon — civic and workplace boundary-setting — that is less reflected in personal/family decisions; (ii) the marriage item is at floor for many Estonian respondents in both years (modal category 1 = would not accept), so there is less room for a distance increase to manifest.</w:t>
      </w:r>
    </w:p>
    <w:p>
      <w:r>
        <w:rPr>
          <w:sz w:val="20"/>
        </w:rPr>
        <w:t>Both interpretations matter. (i) is theoretically interesting and worth pursuing as a sub-finding. (ii) is a measurement-floor caveat that could be checked against the item distribution. The current writeup presents the Estonian Primary-d as a single composite movement; surfacing the item-level gradient would sharpen the substantive interpretation.</w:t>
      </w:r>
    </w:p>
    <w:p>
      <w:r>
        <w:rPr>
          <w:b/>
          <w:sz w:val="24"/>
        </w:rPr>
        <w:t>FLAG 7 — The 'Estonian shift is not generalized' falsification logic is weaker than presented</w:t>
      </w:r>
    </w:p>
    <w:p>
      <w:r>
        <w:rPr>
          <w:sz w:val="20"/>
        </w:rPr>
        <w:t>The §29 reframing — and the §51 paired test that operationalized it — argues that the divergence between within-Estonian SD: Primary (+0.42 ***) and SD: General (−0.23 ***) constitutes a falsification test for the war-shock hypothesis: if Estonians had simply hardened against all out-groups, both within-d's should be positive. The fact that they go in opposite directions, the argument runs, shows that the hardening is selectively targeted.</w:t>
      </w:r>
    </w:p>
    <w:p>
      <w:r>
        <w:rPr>
          <w:sz w:val="20"/>
        </w:rPr>
        <w:t>The argument has two soft links:</w:t>
      </w:r>
    </w:p>
    <w:p>
      <w:pPr>
        <w:pStyle w:val="ListBullet"/>
      </w:pPr>
      <w:r>
        <w:rPr>
          <w:sz w:val="20"/>
        </w:rPr>
        <w:t>The General d also goes in opposite directions for Russians (−0.56) and Estonians (−0.23). If the General item-set change drove most of the General d for both groups (a strict construct-change interpretation), then the Estonian Primary increase remains the only substantive change being reported — the falsification test is reduced to 'Estonians moved on Primary, period.' That is a weaker claim than 'Estonians moved on Primary while not moving (or moving the other way) on General.'</w:t>
      </w:r>
    </w:p>
    <w:p>
      <w:pPr>
        <w:pStyle w:val="ListBullet"/>
      </w:pPr>
      <w:r>
        <w:rPr>
          <w:sz w:val="20"/>
        </w:rPr>
        <w:t>Even if the General-side d's are accepted as substantive, a 'liberalized toward generic Europeans + non-Europeans' shift while 'hardening toward the specific historically-salient out-group' is compatible with a war-shock-driven schema split (Russian-speakers tagged as threat, generic Europeans tagged as solidarity). It is not strictly disconfirming for war-shock, only for naïve generalized-hardening.</w:t>
      </w:r>
    </w:p>
    <w:p>
      <w:r>
        <w:rPr>
          <w:sz w:val="20"/>
        </w:rPr>
        <w:t>Recommended action: weaken the falsification claim from 'falsifies generalized hardening' to 'rules out non-targeted hardening,' which is what the design actually supports.</w:t>
      </w:r>
    </w:p>
    <w:p>
      <w:r>
        <w:rPr>
          <w:b/>
          <w:sz w:val="24"/>
        </w:rPr>
        <w:t>Confirmations — what the new outputs do well</w:t>
      </w:r>
    </w:p>
    <w:p>
      <w:pPr>
        <w:pStyle w:val="ListBullet"/>
      </w:pPr>
      <w:r>
        <w:rPr>
          <w:sz w:val="20"/>
        </w:rPr>
        <w:t>The §51 paired test was the missing piece behind the Round 2 §29 falsification framing. Adding a within-respondent test transforms the Round 2 'two within-group d's go opposite directions' into 'the rank order between the two out-group categories actually flipped within Estonians.' The Estonian sign-reversal is the single sharpest finding the project now has, and it now has a proper test behind it.</w:t>
      </w:r>
    </w:p>
    <w:p>
      <w:pPr>
        <w:pStyle w:val="ListBullet"/>
      </w:pPr>
      <w:r>
        <w:rPr>
          <w:sz w:val="20"/>
        </w:rPr>
        <w:t>The script-50 4×3 SD General item-density figure handles the awkward 2020/2023 item-set asymmetry cleanly — the 'one 2020 immigrant target splits into two 2023 sub-targets' framing is the most honest way to display a non-comparable battery, and the figure makes the asymmetry legible rather than hiding it.</w:t>
      </w:r>
    </w:p>
    <w:p>
      <w:pPr>
        <w:pStyle w:val="ListBullet"/>
      </w:pPr>
      <w:r>
        <w:rPr>
          <w:sz w:val="20"/>
        </w:rPr>
        <w:t>Distribution-shape figures (composite density + item-density across Minority, SD Primary, SD General) consistently surface the variance / dispersion patterns alongside the means. The Estonian dispersion-grows pattern that emerged in Round 2 (Superordinate Identity, Group ID, BiC) now also shows up in Minority Support (Levene's p = .001) and SD Primary composite (p = .001) and SD Primary Work / study item (p = .003). Five different dimensions of intergroup attitudes show the same fragmentation signature on the Estonian side. That's a strong convergent pattern.</w:t>
      </w:r>
    </w:p>
    <w:p>
      <w:pPr>
        <w:pStyle w:val="ListBullet"/>
      </w:pPr>
      <w:r>
        <w:rPr>
          <w:sz w:val="20"/>
        </w:rPr>
        <w:t>The exploratory in-group SD investigation (scripts 45-47) was correctly diagnosed as structurally non-interpretable (N = 21–51 per cell, almost certainly a survey-routing artifact) and dropped without further pursuit. Good ergonomics.</w:t>
      </w:r>
    </w:p>
    <w:p>
      <w:r>
        <w:rPr>
          <w:b/>
          <w:sz w:val="24"/>
        </w:rPr>
        <w:t>Action Checklist (in priority order)</w:t>
      </w:r>
    </w:p>
    <w:p>
      <w:pPr>
        <w:pStyle w:val="ListBullet"/>
      </w:pPr>
      <w:r>
        <w:rPr>
          <w:sz w:val="20"/>
        </w:rPr>
        <w:t>1. Reframe §51 / §54 / §55 narrative: emphasize within-Estonian Primary increase as the substantive driver; qualify the within-General decrease with the construct-change caveat.</w:t>
      </w:r>
    </w:p>
    <w:p>
      <w:pPr>
        <w:pStyle w:val="ListBullet"/>
      </w:pPr>
      <w:r>
        <w:rPr>
          <w:sz w:val="20"/>
        </w:rPr>
        <w:t>2. Cite the §33 longitudinal scalar-invariance HOLDS for SD: Primary as supporting evidence for the headline finding (turn the methodology lucky-alignment into a cited strength).</w:t>
      </w:r>
    </w:p>
    <w:p>
      <w:pPr>
        <w:pStyle w:val="ListBullet"/>
      </w:pPr>
      <w:r>
        <w:rPr>
          <w:sz w:val="20"/>
        </w:rPr>
        <w:t>3. Add the §33 scalar-invariance FAILS caveat to the methods chapter for BiC and Minority Support within-group findings.</w:t>
      </w:r>
    </w:p>
    <w:p>
      <w:pPr>
        <w:pStyle w:val="ListBullet"/>
      </w:pPr>
      <w:r>
        <w:rPr>
          <w:sz w:val="20"/>
        </w:rPr>
        <w:t>4. Run the long-pending 2020 vs. 2023 Russian sample composition robustness check (Round 2 FLAG 1, still open).</w:t>
      </w:r>
    </w:p>
    <w:p>
      <w:pPr>
        <w:pStyle w:val="ListBullet"/>
      </w:pPr>
      <w:r>
        <w:rPr>
          <w:sz w:val="20"/>
        </w:rPr>
        <w:t>5. Surface Q68_3 'Understand opinions' divergence (Estonians −0.16 **, Russians +0.23 ***) as a stand-alone discussion result — it is a different kind of asymmetry from the rest.</w:t>
      </w:r>
    </w:p>
    <w:p>
      <w:pPr>
        <w:pStyle w:val="ListBullet"/>
      </w:pPr>
      <w:r>
        <w:rPr>
          <w:sz w:val="20"/>
        </w:rPr>
        <w:t>6. Explicitly address the Ukrainian-item exclusion in the General-out-group narrative: either plot the dropped Ukrainian items separately, or add a paragraph clarifying that 'Russian liberalization toward general out-groups' excludes the most policy-salient post-2022 group.</w:t>
      </w:r>
    </w:p>
    <w:p>
      <w:pPr>
        <w:pStyle w:val="ListBullet"/>
      </w:pPr>
      <w:r>
        <w:rPr>
          <w:sz w:val="20"/>
        </w:rPr>
        <w:t>7. Weaken the falsification claim from 'falsifies generalized hardening' to 'rules out non-targeted hardening' — preserve the substance, sharpen the epistemic standing.</w:t>
      </w:r>
    </w:p>
    <w:p>
      <w:pPr>
        <w:pStyle w:val="ListBullet"/>
      </w:pPr>
      <w:r>
        <w:rPr>
          <w:sz w:val="20"/>
        </w:rPr>
        <w:t>8. (Smaller) Note the SD: Primary public-vs-intimate item gradient (Estonian Marriage d = +0.22 vs. Neighbors / Work +0.41 / +0.44) — interesting sub-finding worth one or two sentences.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