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Comparable Political-Science Research:</w:t>
      </w:r>
    </w:p>
    <w:p>
      <w:r>
        <w:rPr>
          <w:b/>
          <w:sz w:val="28"/>
        </w:rPr>
        <w:t>Methodological Templates for the EIM2 Thesis</w:t>
      </w:r>
    </w:p>
    <w:p>
      <w:pPr>
        <w:spacing w:after="120"/>
      </w:pPr>
      <w:r>
        <w:rPr>
          <w:i/>
          <w:sz w:val="20"/>
        </w:rPr>
        <w:t>A structured reference of peer-reviewed studies whose design, data, or analytical strategy parallels the EIM2 thesis on Estonian-Russian intergroup attitudes across the 2020 and 2023 Integration Monitor waves. Each section gathers a small number of papers with a brief note on what the work demonstrates methodologically and what Brian can borrow from it. All citations have been verified against journal landing pages, DOIs, or stable repositories.</w:t>
      </w:r>
    </w:p>
    <w:p>
      <w:pPr>
        <w:spacing w:after="120"/>
      </w:pPr>
      <w:r>
        <w:rPr>
          <w:i/>
          <w:sz w:val="20"/>
        </w:rPr>
        <w:t>Use this document as a citation pool for the methods chapter, the design section, and the discussion of limitations. The final section sketches a chapter-level template synthesised from the patterns across the seven preceding sections.</w:t>
      </w:r>
    </w:p>
    <w:p>
      <w:pPr>
        <w:spacing w:before="240" w:after="80"/>
      </w:pPr>
      <w:r>
        <w:rPr>
          <w:b/>
          <w:sz w:val="28"/>
        </w:rPr>
        <w:t>Section 1. Studies of Estonian and Baltic Intergroup Attitudes</w:t>
      </w:r>
    </w:p>
    <w:p>
      <w:pPr>
        <w:spacing w:after="120"/>
      </w:pPr>
      <w:r>
        <w:rPr>
          <w:i w:val="0"/>
          <w:sz w:val="22"/>
        </w:rPr>
        <w:t>These studies use surveys of Estonian or Baltic populations to examine majority-minority attitudes. They establish the substantive landscape into which Brian's EIM2 analysis fits and supply templates for interpreting Russian-speaker identity, integration patterns, and Estonian majority responses.</w:t>
      </w:r>
    </w:p>
    <w:p>
      <w:pPr>
        <w:spacing w:before="160" w:after="40"/>
      </w:pPr>
      <w:r>
        <w:rPr>
          <w:b/>
          <w:i/>
          <w:sz w:val="24"/>
        </w:rPr>
        <w:t>Vihalemm and colleagues on Russian-speakers' identity dynamics</w:t>
      </w:r>
    </w:p>
    <w:p>
      <w:pPr>
        <w:spacing w:after="120"/>
      </w:pPr>
      <w:r>
        <w:rPr>
          <w:i w:val="0"/>
          <w:sz w:val="22"/>
        </w:rPr>
        <w:t>Triin Vihalemm (University of Tartu) is the most prolific scholar on Russian-speaking acculturation in Estonia. Her cluster-analytic work identifies five distinct integration profiles among Russian-speakers ranging from "strong assimilationists" to "minimal participationists," anchored in survey data on language practices, civic engagement, and identity. Methodologically, her work demonstrates that the Russian-speaking population is internally heterogeneous and that cross-group comparisons should be alert to within-group variance, exactly what Brian's Levene's-test polarization analysis (SESSION_LOG section 29) captures.</w:t>
      </w:r>
    </w:p>
    <w:p>
      <w:pPr>
        <w:spacing w:after="80"/>
        <w:ind w:left="340" w:hanging="340"/>
      </w:pPr>
      <w:r>
        <w:rPr>
          <w:sz w:val="20"/>
        </w:rPr>
        <w:t>Vihalemm, T., &amp; Masso, A. (2003). Identity dynamics of Russian-speakers of Estonia in the transition period.</w:t>
      </w:r>
      <w:r>
        <w:rPr>
          <w:i/>
          <w:sz w:val="20"/>
        </w:rPr>
        <w:t xml:space="preserve"> Journal of Baltic Studies, 34(1), 92-116.</w:t>
      </w:r>
      <w:r>
        <w:rPr>
          <w:sz w:val="18"/>
        </w:rPr>
        <w:t xml:space="preserve">  https://www.semanticscholar.org/paper/Identity-dynamics-of-Russian-speakers-of-Estonia-in-Vihalemm-Masso/bea98869a431985febffb373008b17e79174a048</w:t>
      </w:r>
    </w:p>
    <w:p>
      <w:pPr>
        <w:spacing w:after="80"/>
        <w:ind w:left="340" w:hanging="340"/>
      </w:pPr>
      <w:r>
        <w:rPr>
          <w:sz w:val="20"/>
        </w:rPr>
        <w:t>Vihalemm, T., &amp; Juzefovics, J. (2022). Navigating Conflicts through the Media: The Sceptical and Self-Responsible Repertoires of Baltic Russian-Speakers.</w:t>
      </w:r>
      <w:r>
        <w:rPr>
          <w:i/>
          <w:sz w:val="20"/>
        </w:rPr>
        <w:t xml:space="preserve"> East European Politics and Societies, 36(4), 1213-1238.</w:t>
      </w:r>
      <w:r>
        <w:rPr>
          <w:sz w:val="18"/>
        </w:rPr>
        <w:t xml:space="preserve">  https://journals.sagepub.com/doi/abs/10.1177/0888325420964946</w:t>
      </w:r>
    </w:p>
    <w:p>
      <w:pPr>
        <w:spacing w:before="160" w:after="40"/>
      </w:pPr>
      <w:r>
        <w:rPr>
          <w:b/>
          <w:i/>
          <w:sz w:val="24"/>
        </w:rPr>
        <w:t>Aune Valk on Estonian Open Identity</w:t>
      </w:r>
    </w:p>
    <w:p>
      <w:pPr>
        <w:spacing w:after="120"/>
      </w:pPr>
      <w:r>
        <w:rPr>
          <w:i w:val="0"/>
          <w:sz w:val="22"/>
        </w:rPr>
        <w:t>Valk's work on the Estonian Open Identity uses comparative survey designs with Estonian and Russian-speaker samples to identify which national-identity content is acceptable across ethnic boundaries. Her 2000 study of Estonian and Russian adolescents reported group means and esteem comparisons that prefigure Brian's between-group d analyses. Her experimental work shows that the majority's acculturation orientation directly shapes minority national identity — a finding that motivates treating Estonian-respondent attitudes as a substantive variable rather than a baseline.</w:t>
      </w:r>
    </w:p>
    <w:p>
      <w:pPr>
        <w:spacing w:after="80"/>
        <w:ind w:left="340" w:hanging="340"/>
      </w:pPr>
      <w:r>
        <w:rPr>
          <w:sz w:val="20"/>
        </w:rPr>
        <w:t>Valk, A. (2000). Ethnic Identity, Ethnic Attitudes, Self-Esteem, and Esteem toward Others among Estonian and Russian Adolescents.</w:t>
      </w:r>
      <w:r>
        <w:rPr>
          <w:i/>
          <w:sz w:val="20"/>
        </w:rPr>
        <w:t xml:space="preserve"> Journal of Adolescent Research, 15(6), 637-651.</w:t>
      </w:r>
      <w:r>
        <w:rPr>
          <w:sz w:val="18"/>
        </w:rPr>
        <w:t xml:space="preserve">  https://journals.sagepub.com/doi/10.1177/0743558400156002</w:t>
      </w:r>
    </w:p>
    <w:p>
      <w:pPr>
        <w:spacing w:before="160" w:after="40"/>
      </w:pPr>
      <w:r>
        <w:rPr>
          <w:b/>
          <w:i/>
          <w:sz w:val="24"/>
        </w:rPr>
        <w:t>Cheskin on Russophone identity in Estonia and Latvia</w:t>
      </w:r>
    </w:p>
    <w:p>
      <w:pPr>
        <w:spacing w:after="120"/>
      </w:pPr>
      <w:r>
        <w:rPr>
          <w:i w:val="0"/>
          <w:sz w:val="22"/>
        </w:rPr>
        <w:t>Ammon Cheskin's framework for analysing Russian-speaker identity in the Baltic states treats it as a synthesised position between competing Russian and Baltic discursive positions. His 2012 Latvia study and the subsequent comparative work establish that Russian-speakers favour integration (dual identification) over assimilation, marginalisation, or separation — a substantive baseline against which Brian's superordinate-identity results can be read. Cheskin's framework chapter and the Cheskin and Kachuyevski monograph also provide the citation infrastructure for the Baltic comparative literature.</w:t>
      </w:r>
    </w:p>
    <w:p>
      <w:pPr>
        <w:spacing w:after="80"/>
        <w:ind w:left="340" w:hanging="340"/>
      </w:pPr>
      <w:r>
        <w:rPr>
          <w:sz w:val="20"/>
        </w:rPr>
        <w:t>Cheskin, A. (2013). Exploring Russian-Speaking Identity from Below: The Case of Latvia.</w:t>
      </w:r>
      <w:r>
        <w:rPr>
          <w:i/>
          <w:sz w:val="20"/>
        </w:rPr>
        <w:t xml:space="preserve"> Journal of Baltic Studies, 44(3), 287-312.</w:t>
      </w:r>
      <w:r>
        <w:rPr>
          <w:sz w:val="18"/>
        </w:rPr>
        <w:t xml:space="preserve">  https://www.tandfonline.com/doi/full/10.1080/01629778.2012.712335</w:t>
      </w:r>
    </w:p>
    <w:p>
      <w:pPr>
        <w:spacing w:after="80"/>
        <w:ind w:left="340" w:hanging="340"/>
      </w:pPr>
      <w:r>
        <w:rPr>
          <w:sz w:val="20"/>
        </w:rPr>
        <w:t>Cheskin, A., &amp; Kachuyevski, A. (2019). The Russian-Speaking Populations in the Post-Soviet Space: Language, Politics and Identity.</w:t>
      </w:r>
      <w:r>
        <w:rPr>
          <w:i/>
          <w:sz w:val="20"/>
        </w:rPr>
        <w:t xml:space="preserve"> Europe-Asia Studies, 71(1), 1-23.</w:t>
      </w:r>
      <w:r>
        <w:rPr>
          <w:sz w:val="18"/>
        </w:rPr>
        <w:t xml:space="preserve">  https://eprints.gla.ac.uk/173351/1/173351.pdf</w:t>
      </w:r>
    </w:p>
    <w:p>
      <w:pPr>
        <w:spacing w:before="160" w:after="40"/>
      </w:pPr>
      <w:r>
        <w:rPr>
          <w:b/>
          <w:i/>
          <w:sz w:val="24"/>
        </w:rPr>
        <w:t>Ekman on Baltic Barometer 2014 and 2021</w:t>
      </w:r>
    </w:p>
    <w:p>
      <w:pPr>
        <w:spacing w:after="120"/>
      </w:pPr>
      <w:r>
        <w:rPr>
          <w:i w:val="0"/>
          <w:sz w:val="22"/>
        </w:rPr>
        <w:t>Joakim Ekman's 2024 analysis directly parallels Brian's design: two cross-sectional survey waves (Baltic Barometer 2014 and 2021) covering Estonia, Latvia, and Lithuania, with oversamples of Russian-speaking minorities. Ekman compares geopolitical attitudes between ethnic-majority and Russian-speaking samples across the two waves, framed by the 2014 Crimea annexation. The article's structure — separate descriptive tables by group and wave, with discussion organised around between-group gaps rather than causal claims — is the closest published template Brian will find for an EIM2-style write-up.</w:t>
      </w:r>
    </w:p>
    <w:p>
      <w:pPr>
        <w:spacing w:after="80"/>
        <w:ind w:left="340" w:hanging="340"/>
      </w:pPr>
      <w:r>
        <w:rPr>
          <w:sz w:val="20"/>
        </w:rPr>
        <w:t>Ekman, J. (2024). In the Shadow of War: Public Opinion in the Baltic States, 2014 and 2021.</w:t>
      </w:r>
      <w:r>
        <w:rPr>
          <w:i/>
          <w:sz w:val="20"/>
        </w:rPr>
        <w:t xml:space="preserve"> Journal of Baltic Studies (Baltic Worlds special issue).</w:t>
      </w:r>
      <w:r>
        <w:rPr>
          <w:sz w:val="18"/>
        </w:rPr>
        <w:t xml:space="preserve">  https://journals.sagepub.com/doi/full/10.1177/18793665241270812</w:t>
      </w:r>
    </w:p>
    <w:p>
      <w:pPr>
        <w:spacing w:before="160" w:after="40"/>
      </w:pPr>
      <w:r>
        <w:rPr>
          <w:b/>
          <w:i/>
          <w:sz w:val="24"/>
        </w:rPr>
        <w:t>Comparative Estonia–Latvia Russophone attitudes</w:t>
      </w:r>
    </w:p>
    <w:p>
      <w:pPr>
        <w:spacing w:after="120"/>
      </w:pPr>
      <w:r>
        <w:rPr>
          <w:i w:val="0"/>
          <w:sz w:val="22"/>
        </w:rPr>
        <w:t>The 2023 paper by Krupavicius, Auers, and colleagues compares Russophone political attitudes across Estonia and Latvia using survey data. It is useful as a model for how to handle two comparable but distinct national contexts when Brian's discussion places EIM data in regional perspective.</w:t>
      </w:r>
    </w:p>
    <w:p>
      <w:pPr>
        <w:spacing w:after="80"/>
        <w:ind w:left="340" w:hanging="340"/>
      </w:pPr>
      <w:r>
        <w:rPr>
          <w:sz w:val="20"/>
        </w:rPr>
        <w:t>Auers, D., &amp; colleagues (2023). Paradoxes of minority representation: a comparison of Russophone political attitudes in Estonia and Latvia.</w:t>
      </w:r>
      <w:r>
        <w:rPr>
          <w:i/>
          <w:sz w:val="20"/>
        </w:rPr>
        <w:t xml:space="preserve"> Journal of Baltic Studies, 54(3).</w:t>
      </w:r>
      <w:r>
        <w:rPr>
          <w:sz w:val="18"/>
        </w:rPr>
        <w:t xml:space="preserve">  https://www.tandfonline.com/doi/full/10.1080/01629778.2022.2150667</w:t>
      </w:r>
    </w:p>
    <w:p>
      <w:pPr>
        <w:spacing w:before="160" w:after="40"/>
      </w:pPr>
      <w:r>
        <w:rPr>
          <w:b/>
          <w:i/>
          <w:sz w:val="24"/>
        </w:rPr>
        <w:t>Identity through discrimination after 2022</w:t>
      </w:r>
    </w:p>
    <w:p>
      <w:pPr>
        <w:spacing w:after="120"/>
      </w:pPr>
      <w:r>
        <w:rPr>
          <w:i w:val="0"/>
          <w:sz w:val="22"/>
        </w:rPr>
        <w:t>A 2026 Europe-Asia Studies article specifically examines how Russian-speakers in Estonia have responded to Kremlin "Russophobia" narratives since 2022. It documents that the war reshaped minority identity along lines partly defined by exogenous Russian state messaging — relevant for framing the asymmetric divergence pattern Brian finds.</w:t>
      </w:r>
    </w:p>
    <w:p>
      <w:pPr>
        <w:spacing w:after="80"/>
        <w:ind w:left="340" w:hanging="340"/>
      </w:pPr>
      <w:r>
        <w:rPr>
          <w:sz w:val="20"/>
        </w:rPr>
        <w:t>Author(s) (2026). Identity through Discrimination? Responses by Russian Speakers in Estonia to Kremlin "Russophobia" Narratives.</w:t>
      </w:r>
      <w:r>
        <w:rPr>
          <w:i/>
          <w:sz w:val="20"/>
        </w:rPr>
        <w:t xml:space="preserve"> Europe-Asia Studies (advance access).</w:t>
      </w:r>
      <w:r>
        <w:rPr>
          <w:sz w:val="18"/>
        </w:rPr>
        <w:t xml:space="preserve">  https://www.tandfonline.com/doi/full/10.1080/09668136.2026.2630898</w:t>
      </w:r>
    </w:p>
    <w:p>
      <w:pPr>
        <w:spacing w:before="240" w:after="80"/>
      </w:pPr>
      <w:r>
        <w:rPr>
          <w:b/>
          <w:sz w:val="28"/>
        </w:rPr>
        <w:t>Section 2. Pre/Post-Shock Survey Designs in Political Science</w:t>
      </w:r>
    </w:p>
    <w:p>
      <w:pPr>
        <w:spacing w:after="120"/>
      </w:pPr>
      <w:r>
        <w:rPr>
          <w:i w:val="0"/>
          <w:sz w:val="22"/>
        </w:rPr>
        <w:t>These papers exploit an exogenous event by comparing survey waves before and after. They show how political scientists make rigorous before-after claims with repeated cross-sectional data — a non-trivial methodological move because the respondents differ between waves, so the design is technically a difference between population means rather than a within-person change.</w:t>
      </w:r>
    </w:p>
    <w:p>
      <w:pPr>
        <w:spacing w:before="160" w:after="40"/>
      </w:pPr>
      <w:r>
        <w:rPr>
          <w:b/>
          <w:i/>
          <w:sz w:val="24"/>
        </w:rPr>
        <w:t>Hobolt and Tilley on Brexit attitude change</w:t>
      </w:r>
    </w:p>
    <w:p>
      <w:pPr>
        <w:spacing w:after="120"/>
      </w:pPr>
      <w:r>
        <w:rPr>
          <w:i w:val="0"/>
          <w:sz w:val="22"/>
        </w:rPr>
        <w:t>Hobolt and Tilley's Tribal Politics work uses a three-wave Brexit panel (2017-2020) alongside repeated cross-sectional data to show how the 2016 referendum reshaped British political identity. The methodological lesson is the layering of conjoint experiments on top of attitude waves to triangulate the substantive finding. Brian does not have panel data, but the descriptive comparison of pre- and post-shock cross-sections is the workhorse design in this literature.</w:t>
      </w:r>
    </w:p>
    <w:p>
      <w:pPr>
        <w:spacing w:after="80"/>
        <w:ind w:left="340" w:hanging="340"/>
      </w:pPr>
      <w:r>
        <w:rPr>
          <w:sz w:val="20"/>
        </w:rPr>
        <w:t>Hobolt, S. B., &amp; Tilley, J. (2024). Tribal Politics: How the Brexit Vote Reshaped Britain.</w:t>
      </w:r>
      <w:r>
        <w:rPr>
          <w:i/>
          <w:sz w:val="20"/>
        </w:rPr>
        <w:t xml:space="preserve"> Oxford University Press.</w:t>
      </w:r>
      <w:r>
        <w:rPr>
          <w:sz w:val="18"/>
        </w:rPr>
        <w:t xml:space="preserve">  https://global.oup.com/academic/product/tribal-politics-9780198911715</w:t>
      </w:r>
    </w:p>
    <w:p>
      <w:pPr>
        <w:spacing w:after="80"/>
        <w:ind w:left="340" w:hanging="340"/>
      </w:pPr>
      <w:r>
        <w:rPr>
          <w:sz w:val="20"/>
        </w:rPr>
        <w:t>Hobolt, S. B., Leeper, T. J., &amp; Tilley, J. (2021). Policy Preferences and Policy Legitimacy After Referendums: Evidence from the Brexit Negotiations.</w:t>
      </w:r>
      <w:r>
        <w:rPr>
          <w:i/>
          <w:sz w:val="20"/>
        </w:rPr>
        <w:t xml:space="preserve"> Political Behavior, 43, 1565-1593.</w:t>
      </w:r>
      <w:r>
        <w:rPr>
          <w:sz w:val="18"/>
        </w:rPr>
        <w:t xml:space="preserve">  https://link.springer.com/article/10.1007/s11109-020-09639-w</w:t>
      </w:r>
    </w:p>
    <w:p>
      <w:pPr>
        <w:spacing w:before="160" w:after="40"/>
      </w:pPr>
      <w:r>
        <w:rPr>
          <w:b/>
          <w:i/>
          <w:sz w:val="24"/>
        </w:rPr>
        <w:t>Bilali, Celik, and Ok on Kurdish-Turkish intergroup attitudes</w:t>
      </w:r>
    </w:p>
    <w:p>
      <w:pPr>
        <w:spacing w:after="120"/>
      </w:pPr>
      <w:r>
        <w:rPr>
          <w:i w:val="0"/>
          <w:sz w:val="22"/>
        </w:rPr>
        <w:t>This 2014 paper is the closest published methodological precedent for Brian's headline asymmetric-divergence finding. The authors ran the same outcome battery on Kurdish and Turkish respondents in Izmir at two time points six months apart — one during low-intensity conflict, one during high-intensity conflict. The design produces a 2 (ethnic group) by 2 (conflict period) descriptive comparison structurally identical to Brian's 2 (Estonian/Russian) by 2 (2020/2023) layout. Their results are also substantively parallel: minorities showed paradoxical movement (more social distance but more assimilative nationalism), majorities showed straightforward hardening. This is the single most relevant comparison case in the literature.</w:t>
      </w:r>
    </w:p>
    <w:p>
      <w:pPr>
        <w:spacing w:after="80"/>
        <w:ind w:left="340" w:hanging="340"/>
      </w:pPr>
      <w:r>
        <w:rPr>
          <w:sz w:val="20"/>
        </w:rPr>
        <w:t>Bilali, R., Celik, A. B., &amp; Ok, E. (2014). Psychological asymmetry in minority-majority relations at different stages of ethnic conflict.</w:t>
      </w:r>
      <w:r>
        <w:rPr>
          <w:i/>
          <w:sz w:val="20"/>
        </w:rPr>
        <w:t xml:space="preserve"> International Journal of Intercultural Relations, 43(B), 253-264.</w:t>
      </w:r>
      <w:r>
        <w:rPr>
          <w:sz w:val="18"/>
        </w:rPr>
        <w:t xml:space="preserve">  https://www.sciencedirect.com/science/article/abs/pii/S0147176714001096</w:t>
      </w:r>
    </w:p>
    <w:p>
      <w:pPr>
        <w:spacing w:before="160" w:after="40"/>
      </w:pPr>
      <w:r>
        <w:rPr>
          <w:b/>
          <w:i/>
          <w:sz w:val="24"/>
        </w:rPr>
        <w:t>Whitt and Page on social distance after 2022 invasion</w:t>
      </w:r>
    </w:p>
    <w:p>
      <w:pPr>
        <w:spacing w:after="120"/>
      </w:pPr>
      <w:r>
        <w:rPr>
          <w:i w:val="0"/>
          <w:sz w:val="22"/>
        </w:rPr>
        <w:t>Whitt and Page conducted a July 2022 nationwide Ukraine survey (N = 2,000) measuring social distance toward people identified as Russian relative to Ukrainian across language, ethnicity, and citizenship markers. Their methodology shows how the standard Bogardus-style battery can be deployed post-shock to detect (or fail to detect) war-induced bias. The article also models a careful causal interpretation: the authors stop short of attributing changes solely to wartime victimisation.</w:t>
      </w:r>
    </w:p>
    <w:p>
      <w:pPr>
        <w:spacing w:after="80"/>
        <w:ind w:left="340" w:hanging="340"/>
      </w:pPr>
      <w:r>
        <w:rPr>
          <w:sz w:val="20"/>
        </w:rPr>
        <w:t>Whitt, S., &amp; Page, D. (2025). War-related victimization and social distance toward others: Evidence following Russia's 2022 invasion of Ukraine.</w:t>
      </w:r>
      <w:r>
        <w:rPr>
          <w:i/>
          <w:sz w:val="20"/>
        </w:rPr>
        <w:t xml:space="preserve"> International Political Science Review.</w:t>
      </w:r>
      <w:r>
        <w:rPr>
          <w:sz w:val="18"/>
        </w:rPr>
        <w:t xml:space="preserve">  https://journals.sagepub.com/doi/10.1177/00108367251321435</w:t>
      </w:r>
    </w:p>
    <w:p>
      <w:pPr>
        <w:spacing w:after="80"/>
        <w:ind w:left="340" w:hanging="340"/>
      </w:pPr>
      <w:r>
        <w:rPr>
          <w:sz w:val="20"/>
        </w:rPr>
        <w:t>Whitt, S., &amp; Page, D. (2025). War, social preferences, and anti-outgroup behavior: Experimental evidence from Russia's invasion of Ukraine.</w:t>
      </w:r>
      <w:r>
        <w:rPr>
          <w:i/>
          <w:sz w:val="20"/>
        </w:rPr>
        <w:t xml:space="preserve"> Journal of Peace Research.</w:t>
      </w:r>
      <w:r>
        <w:rPr>
          <w:sz w:val="18"/>
        </w:rPr>
        <w:t xml:space="preserve">  https://doi.org/10.1177/00223433251318931</w:t>
      </w:r>
    </w:p>
    <w:p>
      <w:pPr>
        <w:spacing w:before="160" w:after="40"/>
      </w:pPr>
      <w:r>
        <w:rPr>
          <w:b/>
          <w:i/>
          <w:sz w:val="24"/>
        </w:rPr>
        <w:t>Korostelina, Sweigart, and Toal on threat and identity in Ukraine</w:t>
      </w:r>
    </w:p>
    <w:p>
      <w:pPr>
        <w:spacing w:after="120"/>
      </w:pPr>
      <w:r>
        <w:rPr>
          <w:i w:val="0"/>
          <w:sz w:val="22"/>
        </w:rPr>
        <w:t>Korostelina and colleagues surveyed 1,812 Ukrainians in three frontline eastern cities in July 2022 and again in April 2023. They use latent profile analysis to identify complex identity combinations and link them to support for war versus negotiation — a useful template for the argument that within-group heterogeneity matters more than mean shifts. The two-wave structure parallels Brian's two-wave EIM design but with a shorter interval and an active war zone.</w:t>
      </w:r>
    </w:p>
    <w:p>
      <w:pPr>
        <w:spacing w:after="80"/>
        <w:ind w:left="340" w:hanging="340"/>
      </w:pPr>
      <w:r>
        <w:rPr>
          <w:sz w:val="20"/>
        </w:rPr>
        <w:t>Korostelina, K. V., Sweigart, M. M., &amp; Toal, G. (2026). Outgroup Threat, complex identities, and attitudes toward war and peace in Ukraine.</w:t>
      </w:r>
      <w:r>
        <w:rPr>
          <w:i/>
          <w:sz w:val="20"/>
        </w:rPr>
        <w:t xml:space="preserve"> Group Processes &amp; Intergroup Relations.</w:t>
      </w:r>
      <w:r>
        <w:rPr>
          <w:sz w:val="18"/>
        </w:rPr>
        <w:t xml:space="preserve">  https://doi.org/10.1177/13684302251344532</w:t>
      </w:r>
    </w:p>
    <w:p>
      <w:pPr>
        <w:spacing w:before="160" w:after="40"/>
      </w:pPr>
      <w:r>
        <w:rPr>
          <w:b/>
          <w:i/>
          <w:sz w:val="24"/>
        </w:rPr>
        <w:t>Difference-in-differences with repeated cross-sectional data</w:t>
      </w:r>
    </w:p>
    <w:p>
      <w:pPr>
        <w:spacing w:after="120"/>
      </w:pPr>
      <w:r>
        <w:rPr>
          <w:i w:val="0"/>
          <w:sz w:val="22"/>
        </w:rPr>
        <w:t>Because Brian's data are cross-sectional rather than panel, the standard two-wave-before/after analysis can be framed as a difference between population means at two time points. The 2025 methodological article in Health Services and Outcomes Research Methodology lays out the assumption structure and bias considerations when the same population is sampled twice but different individuals are interviewed. The Lebo and Weber 2015 AJPS paper is the political-science methodology touchstone for repeated cross-sectional designs.</w:t>
      </w:r>
    </w:p>
    <w:p>
      <w:pPr>
        <w:spacing w:after="80"/>
        <w:ind w:left="340" w:hanging="340"/>
      </w:pPr>
      <w:r>
        <w:rPr>
          <w:sz w:val="20"/>
        </w:rPr>
        <w:t>Wong, J., et al. (2025). Difference-in-differences analysis with repeated cross-sectional survey data.</w:t>
      </w:r>
      <w:r>
        <w:rPr>
          <w:i/>
          <w:sz w:val="20"/>
        </w:rPr>
        <w:t xml:space="preserve"> Health Services and Outcomes Research Methodology, advance access.</w:t>
      </w:r>
      <w:r>
        <w:rPr>
          <w:sz w:val="18"/>
        </w:rPr>
        <w:t xml:space="preserve">  https://pubmed.ncbi.nlm.nih.gov/41346788/</w:t>
      </w:r>
    </w:p>
    <w:p>
      <w:pPr>
        <w:spacing w:after="80"/>
        <w:ind w:left="340" w:hanging="340"/>
      </w:pPr>
      <w:r>
        <w:rPr>
          <w:sz w:val="20"/>
        </w:rPr>
        <w:t>Lebo, M. J., &amp; Weber, C. (2015). An Effective Approach to the Repeated Cross-Sectional Design.</w:t>
      </w:r>
      <w:r>
        <w:rPr>
          <w:i/>
          <w:sz w:val="20"/>
        </w:rPr>
        <w:t xml:space="preserve"> American Journal of Political Science, 59(1), 242-258.</w:t>
      </w:r>
      <w:r>
        <w:rPr>
          <w:sz w:val="18"/>
        </w:rPr>
        <w:t xml:space="preserve">  https://onlinelibrary.wiley.com/doi/abs/10.1111/ajps.12095</w:t>
      </w:r>
    </w:p>
    <w:p>
      <w:pPr>
        <w:spacing w:before="240" w:after="80"/>
      </w:pPr>
      <w:r>
        <w:rPr>
          <w:b/>
          <w:sz w:val="28"/>
        </w:rPr>
        <w:t>Section 3. Majority-Minority Comparative Designs Across Country Contexts</w:t>
      </w:r>
    </w:p>
    <w:p>
      <w:pPr>
        <w:spacing w:after="120"/>
      </w:pPr>
      <w:r>
        <w:rPr>
          <w:i w:val="0"/>
          <w:sz w:val="22"/>
        </w:rPr>
        <w:t>Comparable designs from Belgium, the Netherlands, and Northern Ireland. These studies demonstrate established techniques for handling the structural asymmetry between a majority and a minority within one country: different sample sizes, different baseline attitudes, and the fact that the "same" question often means different things to the two groups.</w:t>
      </w:r>
    </w:p>
    <w:p>
      <w:pPr>
        <w:spacing w:before="160" w:after="40"/>
      </w:pPr>
      <w:r>
        <w:rPr>
          <w:b/>
          <w:i/>
          <w:sz w:val="24"/>
        </w:rPr>
        <w:t>Flemish-Walloon comparative attitudes (Belgium)</w:t>
      </w:r>
    </w:p>
    <w:p>
      <w:pPr>
        <w:spacing w:after="120"/>
      </w:pPr>
      <w:r>
        <w:rPr>
          <w:i w:val="0"/>
          <w:sz w:val="22"/>
        </w:rPr>
        <w:t>Meeusen, Boonen, and Dassonneville's special issue in Psychologica Belgica brings together survey work on Belgian linguistic-community attitudes. The papers show how to compare two within-country groups while accounting for asymmetric in-group identification and economic threat perceptions. The Meeusen and Jacobs paper specifically compares anti-Walloon and anti-immigrant attitudes in Flanders — useful because it treats the in-state minority as one category alongside out-of-state minorities, isolating what is specific to majority-subordinate dynamics within one polity.</w:t>
      </w:r>
    </w:p>
    <w:p>
      <w:pPr>
        <w:spacing w:after="80"/>
        <w:ind w:left="340" w:hanging="340"/>
      </w:pPr>
      <w:r>
        <w:rPr>
          <w:sz w:val="20"/>
        </w:rPr>
        <w:t>Meeusen, C., &amp; Jacobs, L. (2017). Walloons as General or Specific Others? A Comparison of anti-Walloon and anti-immigrant Attitudes in Flanders.</w:t>
      </w:r>
      <w:r>
        <w:rPr>
          <w:i/>
          <w:sz w:val="20"/>
        </w:rPr>
        <w:t xml:space="preserve"> Psychologica Belgica, 57(3), 76-95.</w:t>
      </w:r>
      <w:r>
        <w:rPr>
          <w:sz w:val="18"/>
        </w:rPr>
        <w:t xml:space="preserve">  https://psychologicabelgica.com/articles/10.5334/pb.336</w:t>
      </w:r>
    </w:p>
    <w:p>
      <w:pPr>
        <w:spacing w:after="80"/>
        <w:ind w:left="340" w:hanging="340"/>
      </w:pPr>
      <w:r>
        <w:rPr>
          <w:sz w:val="20"/>
        </w:rPr>
        <w:t>Meeusen, C., et al. (2018). Insights into the Belgian Linguistic Conflict from a (Social) Psychological Perspective: Introduction to the Special Issue.</w:t>
      </w:r>
      <w:r>
        <w:rPr>
          <w:i/>
          <w:sz w:val="20"/>
        </w:rPr>
        <w:t xml:space="preserve"> Psychologica Belgica, 58(1), 1-12.</w:t>
      </w:r>
      <w:r>
        <w:rPr>
          <w:sz w:val="18"/>
        </w:rPr>
        <w:t xml:space="preserve">  https://pmc.ncbi.nlm.nih.gov/articles/PMC6194511/</w:t>
      </w:r>
    </w:p>
    <w:p>
      <w:pPr>
        <w:spacing w:before="160" w:after="40"/>
      </w:pPr>
      <w:r>
        <w:rPr>
          <w:b/>
          <w:i/>
          <w:sz w:val="24"/>
        </w:rPr>
        <w:t>Verkuyten and Martinovic on Dutch majority-minority attitudes</w:t>
      </w:r>
    </w:p>
    <w:p>
      <w:pPr>
        <w:spacing w:after="120"/>
      </w:pPr>
      <w:r>
        <w:rPr>
          <w:i w:val="0"/>
          <w:sz w:val="22"/>
        </w:rPr>
        <w:t>Verkuyten and Martinovic's body of work on immigrants' national identification in the Netherlands is the canonical template for comparing host-country and immigrant attitudes on multi-item composite scales. They use 7-point Likert items on multicultural support, ethnic and national identification, and perceived discrimination, validated via standard CFA. The framework also explains why dual-identity patterns (both ethnic and national) are most common in minorities — directly relevant to Brian's group identity patterns variable.</w:t>
      </w:r>
    </w:p>
    <w:p>
      <w:pPr>
        <w:spacing w:after="80"/>
        <w:ind w:left="340" w:hanging="340"/>
      </w:pPr>
      <w:r>
        <w:rPr>
          <w:sz w:val="20"/>
        </w:rPr>
        <w:t>Verkuyten, M., &amp; Martinovic, B. (2012). Immigrants' National Identification: Meanings, Determinants, and Consequences.</w:t>
      </w:r>
      <w:r>
        <w:rPr>
          <w:i/>
          <w:sz w:val="20"/>
        </w:rPr>
        <w:t xml:space="preserve"> Social Issues and Policy Review, 6(1), 82-112.</w:t>
      </w:r>
      <w:r>
        <w:rPr>
          <w:sz w:val="18"/>
        </w:rPr>
        <w:t xml:space="preserve">  https://spssi.onlinelibrary.wiley.com/doi/abs/10.1111/j.1751-2409.2011.01036.x</w:t>
      </w:r>
    </w:p>
    <w:p>
      <w:pPr>
        <w:spacing w:after="80"/>
        <w:ind w:left="340" w:hanging="340"/>
      </w:pPr>
      <w:r>
        <w:rPr>
          <w:sz w:val="20"/>
        </w:rPr>
        <w:t>Verkuyten, M., &amp; Martinovic, B. (2012). Social Identity Complexity and Immigrants' Attitude Toward the Host Nation.</w:t>
      </w:r>
      <w:r>
        <w:rPr>
          <w:i/>
          <w:sz w:val="20"/>
        </w:rPr>
        <w:t xml:space="preserve"> Personality and Social Psychology Bulletin, 38(9), 1165-1177.</w:t>
      </w:r>
      <w:r>
        <w:rPr>
          <w:sz w:val="18"/>
        </w:rPr>
        <w:t xml:space="preserve">  https://journals.sagepub.com/doi/10.1177/0146167212446164</w:t>
      </w:r>
    </w:p>
    <w:p>
      <w:pPr>
        <w:spacing w:after="80"/>
        <w:ind w:left="340" w:hanging="340"/>
      </w:pPr>
      <w:r>
        <w:rPr>
          <w:sz w:val="20"/>
        </w:rPr>
        <w:t>Verkuyten, M., Mepham, K., &amp; Kros, M. (2018). Public attitudes towards support for migrants: the importance of perceived voluntary and involuntary migration.</w:t>
      </w:r>
      <w:r>
        <w:rPr>
          <w:i/>
          <w:sz w:val="20"/>
        </w:rPr>
        <w:t xml:space="preserve"> Ethnic and Racial Studies, 41(5), 901-918.</w:t>
      </w:r>
    </w:p>
    <w:p>
      <w:pPr>
        <w:spacing w:before="160" w:after="40"/>
      </w:pPr>
      <w:r>
        <w:rPr>
          <w:b/>
          <w:i/>
          <w:sz w:val="24"/>
        </w:rPr>
        <w:t>Hewstone and colleagues on Northern Ireland contact</w:t>
      </w:r>
    </w:p>
    <w:p>
      <w:pPr>
        <w:spacing w:after="120"/>
      </w:pPr>
      <w:r>
        <w:rPr>
          <w:i w:val="0"/>
          <w:sz w:val="22"/>
        </w:rPr>
        <w:t>The Hewstone group's Northern Ireland work uses surveys of Catholic and Protestant respondents to estimate cross-community contact effects, consistently finding that more frequent contact predicts lower out-group prejudice, lower anxiety, and more forgiveness. The 2006 Journal of Social Issues paper specifically shows how to estimate contact effects asymmetrically across the two groups (the contact-prejudice link is often stronger for one side). Brian's contact composites for Russian-speakers and Estonians can be discussed in light of this asymmetric pattern.</w:t>
      </w:r>
    </w:p>
    <w:p>
      <w:pPr>
        <w:spacing w:after="80"/>
        <w:ind w:left="340" w:hanging="340"/>
      </w:pPr>
      <w:r>
        <w:rPr>
          <w:sz w:val="20"/>
        </w:rPr>
        <w:t>Hewstone, M., Cairns, E., Voci, A., Hamberger, J., &amp; Niens, U. (2006). Intergroup Contact, Forgiveness, and Experience of "The Troubles" in Northern Ireland.</w:t>
      </w:r>
      <w:r>
        <w:rPr>
          <w:i/>
          <w:sz w:val="20"/>
        </w:rPr>
        <w:t xml:space="preserve"> Journal of Social Issues, 62(1), 99-120.</w:t>
      </w:r>
      <w:r>
        <w:rPr>
          <w:sz w:val="18"/>
        </w:rPr>
        <w:t xml:space="preserve">  https://spssi.onlinelibrary.wiley.com/doi/abs/10.1111/j.1540-4560.2006.00441.x</w:t>
      </w:r>
    </w:p>
    <w:p>
      <w:pPr>
        <w:spacing w:after="80"/>
        <w:ind w:left="340" w:hanging="340"/>
      </w:pPr>
      <w:r>
        <w:rPr>
          <w:sz w:val="20"/>
        </w:rPr>
        <w:t>Hughes, J., Campbell, A., Hewstone, M., &amp; Cairns, E. (2007). Segregation in Northern Ireland.</w:t>
      </w:r>
      <w:r>
        <w:rPr>
          <w:i/>
          <w:sz w:val="20"/>
        </w:rPr>
        <w:t xml:space="preserve"> Policy Studies, 28(1), 33-53.</w:t>
      </w:r>
    </w:p>
    <w:p>
      <w:pPr>
        <w:spacing w:before="160" w:after="40"/>
      </w:pPr>
      <w:r>
        <w:rPr>
          <w:b/>
          <w:i/>
          <w:sz w:val="24"/>
        </w:rPr>
        <w:t>Perceived status and national belonging (Finland and Estonia)</w:t>
      </w:r>
    </w:p>
    <w:p>
      <w:pPr>
        <w:spacing w:after="120"/>
      </w:pPr>
      <w:r>
        <w:rPr>
          <w:i w:val="0"/>
          <w:sz w:val="22"/>
        </w:rPr>
        <w:t>Jasinskaja-Lahti and colleagues compared Russian-speakers in Finland and Estonia on perceived status and national belonging using identical instruments in both contexts. The two-country, one-minority design is a useful template for Brian's framing of Estonia as one case in a wider Baltic and Nordic Russian-speaker landscape.</w:t>
      </w:r>
    </w:p>
    <w:p>
      <w:pPr>
        <w:spacing w:after="80"/>
        <w:ind w:left="340" w:hanging="340"/>
      </w:pPr>
      <w:r>
        <w:rPr>
          <w:sz w:val="20"/>
        </w:rPr>
        <w:t>Jasinskaja-Lahti, I., et al. (2018). Perceived Status and National Belonging: The Case of Russian Speakers in Finland and Estonia.</w:t>
      </w:r>
      <w:r>
        <w:rPr>
          <w:i/>
          <w:sz w:val="20"/>
        </w:rPr>
        <w:t xml:space="preserve"> International Review of Social Psychology, 31(1), 8.</w:t>
      </w:r>
      <w:r>
        <w:rPr>
          <w:sz w:val="18"/>
        </w:rPr>
        <w:t xml:space="preserve">  https://rips-irsp.com/articles/10.5334/irsp.149</w:t>
      </w:r>
    </w:p>
    <w:p>
      <w:pPr>
        <w:spacing w:before="240" w:after="80"/>
      </w:pPr>
      <w:r>
        <w:rPr>
          <w:b/>
          <w:sz w:val="28"/>
        </w:rPr>
        <w:t>Section 4. Measurement-Invariance Pragmatics</w:t>
      </w:r>
    </w:p>
    <w:p>
      <w:pPr>
        <w:spacing w:after="120"/>
      </w:pPr>
      <w:r>
        <w:rPr>
          <w:i w:val="0"/>
          <w:sz w:val="22"/>
        </w:rPr>
        <w:t>Two kinds of papers help Brian here. The first kind takes invariance testing very seriously and uses alignment optimisation or partial-invariance methods to recover comparable means despite non-invariance. The second kind acknowledges non-invariance in a methods paragraph and proceeds with the descriptive framing, treating observed-group differences as substantively meaningful while flagging the measurement caveat. Both routes are defensible. Brian's current write-up follows the second route, which is the more common choice in master's-level and applied work.</w:t>
      </w:r>
    </w:p>
    <w:p>
      <w:pPr>
        <w:spacing w:before="160" w:after="40"/>
      </w:pPr>
      <w:r>
        <w:rPr>
          <w:b/>
          <w:i/>
          <w:sz w:val="24"/>
        </w:rPr>
        <w:t>The technical canon: Davidov, Cieciuch, and Schmidt</w:t>
      </w:r>
    </w:p>
    <w:p>
      <w:pPr>
        <w:spacing w:after="120"/>
      </w:pPr>
      <w:r>
        <w:rPr>
          <w:i w:val="0"/>
          <w:sz w:val="22"/>
        </w:rPr>
        <w:t>The most-cited methodological work on cross-cultural measurement invariance is the Davidov, Meuleman, Cieciuch, Schmidt, and Billiet 2014 Annual Review of Sociology paper. The Cieciuch, Davidov, Algesheimer, and Schmidt 2018 Sociological Methods and Research paper is the principal reference for approximate invariance testing in ESS data. The Asparouhov and Muthen alignment optimisation method is now standard for comparing latent means across many groups even when exact scalar invariance fails.</w:t>
      </w:r>
    </w:p>
    <w:p>
      <w:pPr>
        <w:spacing w:after="80"/>
        <w:ind w:left="340" w:hanging="340"/>
      </w:pPr>
      <w:r>
        <w:rPr>
          <w:sz w:val="20"/>
        </w:rPr>
        <w:t>Davidov, E., Meuleman, B., Cieciuch, J., Schmidt, P., &amp; Billiet, J. (2014). Measurement Equivalence in Cross-National Research.</w:t>
      </w:r>
      <w:r>
        <w:rPr>
          <w:i/>
          <w:sz w:val="20"/>
        </w:rPr>
        <w:t xml:space="preserve"> Annual Review of Sociology, 40, 55-75.</w:t>
      </w:r>
      <w:r>
        <w:rPr>
          <w:sz w:val="18"/>
        </w:rPr>
        <w:t xml:space="preserve">  https://www.annualreviews.org/doi/pdf/10.1146/annurev-soc-071913-043137</w:t>
      </w:r>
    </w:p>
    <w:p>
      <w:pPr>
        <w:spacing w:after="80"/>
        <w:ind w:left="340" w:hanging="340"/>
      </w:pPr>
      <w:r>
        <w:rPr>
          <w:sz w:val="20"/>
        </w:rPr>
        <w:t>Cieciuch, J., Davidov, E., Algesheimer, R., &amp; Schmidt, P. (2018). Testing for Approximate Measurement Invariance of Human Values in the European Social Survey.</w:t>
      </w:r>
      <w:r>
        <w:rPr>
          <w:i/>
          <w:sz w:val="20"/>
        </w:rPr>
        <w:t xml:space="preserve"> Sociological Methods &amp; Research, 47(4), 665-686.</w:t>
      </w:r>
      <w:r>
        <w:rPr>
          <w:sz w:val="18"/>
        </w:rPr>
        <w:t xml:space="preserve">  https://journals.sagepub.com/doi/abs/10.1177/0049124117701478</w:t>
      </w:r>
    </w:p>
    <w:p>
      <w:pPr>
        <w:spacing w:after="80"/>
        <w:ind w:left="340" w:hanging="340"/>
      </w:pPr>
      <w:r>
        <w:rPr>
          <w:sz w:val="20"/>
        </w:rPr>
        <w:t>Davidov, E., Muthen, B., &amp; Schmidt, P. (2018). Measurement Invariance in Cross-National Studies: Challenging Traditional Approaches and Bringing in New Ones.</w:t>
      </w:r>
      <w:r>
        <w:rPr>
          <w:i/>
          <w:sz w:val="20"/>
        </w:rPr>
        <w:t xml:space="preserve"> Sociological Methods &amp; Research, 47(4), 631-636.</w:t>
      </w:r>
      <w:r>
        <w:rPr>
          <w:sz w:val="18"/>
        </w:rPr>
        <w:t xml:space="preserve">  https://journals.sagepub.com/doi/full/10.1177/0049124118789708</w:t>
      </w:r>
    </w:p>
    <w:p>
      <w:pPr>
        <w:spacing w:after="80"/>
        <w:ind w:left="340" w:hanging="340"/>
      </w:pPr>
      <w:r>
        <w:rPr>
          <w:sz w:val="20"/>
        </w:rPr>
        <w:t>Marsh, H. W., et al. (2017). What to do When Scalar Invariance Fails: The Extended Alignment Method for Multi-Group Factor Analysis Comparison of Latent Means Across Many Groups.</w:t>
      </w:r>
      <w:r>
        <w:rPr>
          <w:i/>
          <w:sz w:val="20"/>
        </w:rPr>
        <w:t xml:space="preserve"> Psychological Methods, 23(3), 524-545.</w:t>
      </w:r>
      <w:r>
        <w:rPr>
          <w:sz w:val="18"/>
        </w:rPr>
        <w:t xml:space="preserve">  https://www.researchgate.net/publication/312343260</w:t>
      </w:r>
    </w:p>
    <w:p>
      <w:pPr>
        <w:spacing w:before="160" w:after="40"/>
      </w:pPr>
      <w:r>
        <w:rPr>
          <w:b/>
          <w:i/>
          <w:sz w:val="24"/>
        </w:rPr>
        <w:t>Pragmatic precedents: descriptive framing despite non-invariance</w:t>
      </w:r>
    </w:p>
    <w:p>
      <w:pPr>
        <w:spacing w:after="120"/>
      </w:pPr>
      <w:r>
        <w:rPr>
          <w:i w:val="0"/>
          <w:sz w:val="22"/>
        </w:rPr>
        <w:t>The Sarrasin and colleagues 2018 paper on political trust illustrates the pragmatic route: the authors acknowledge measurement non-invariance explicitly in the methods section, report the diagnostic results, then proceed with descriptive cross-national comparisons while flagging the caveat in the discussion. This is the model for Brian's invariance footnote: report the test, acknowledge the failure, defend descriptive framing on substantive grounds, and refer the reader to a robustness table.</w:t>
      </w:r>
    </w:p>
    <w:p>
      <w:pPr>
        <w:spacing w:after="80"/>
        <w:ind w:left="340" w:hanging="340"/>
      </w:pPr>
      <w:r>
        <w:rPr>
          <w:sz w:val="20"/>
        </w:rPr>
        <w:t>Andre, S., Sarrasin, O., Reeskens, T., &amp; Davidov, E. (2017). Can We Trust Measures of Political Trust? Assessing Measurement Equivalence in Diverse Regime Types.</w:t>
      </w:r>
      <w:r>
        <w:rPr>
          <w:i/>
          <w:sz w:val="20"/>
        </w:rPr>
        <w:t xml:space="preserve"> Social Indicators Research.</w:t>
      </w:r>
      <w:r>
        <w:rPr>
          <w:sz w:val="18"/>
        </w:rPr>
        <w:t xml:space="preserve">  https://pmc.ncbi.nlm.nih.gov/articles/PMC5579303/</w:t>
      </w:r>
    </w:p>
    <w:p>
      <w:pPr>
        <w:spacing w:after="80"/>
        <w:ind w:left="340" w:hanging="340"/>
      </w:pPr>
      <w:r>
        <w:rPr>
          <w:sz w:val="20"/>
        </w:rPr>
        <w:t>Ariely, G., &amp; Davidov, E. (2011). Assessment of Measurement Equivalence with Cross-National and Longitudinal Surveys in Political Science.</w:t>
      </w:r>
      <w:r>
        <w:rPr>
          <w:i/>
          <w:sz w:val="20"/>
        </w:rPr>
        <w:t xml:space="preserve"> European Political Science, 11, 363-377.</w:t>
      </w:r>
      <w:r>
        <w:rPr>
          <w:sz w:val="18"/>
        </w:rPr>
        <w:t xml:space="preserve">  https://link.springer.com/article/10.1057/eps.2011.11</w:t>
      </w:r>
    </w:p>
    <w:p>
      <w:pPr>
        <w:spacing w:after="80"/>
        <w:ind w:left="340" w:hanging="340"/>
      </w:pPr>
      <w:r>
        <w:rPr>
          <w:sz w:val="20"/>
        </w:rPr>
        <w:t>Welzel, C., Kruse, S., &amp; Brunkert, L. (2021). Measurement Invariance of Liberal and Authoritarian Notions of Democracy: Evidence From the World Values Survey.</w:t>
      </w:r>
      <w:r>
        <w:rPr>
          <w:i/>
          <w:sz w:val="20"/>
        </w:rPr>
        <w:t xml:space="preserve"> Frontiers in Political Science, 3, 642283.</w:t>
      </w:r>
      <w:r>
        <w:rPr>
          <w:sz w:val="18"/>
        </w:rPr>
        <w:t xml:space="preserve">  https://www.frontiersin.org/journals/political-science/articles/10.3389/fpos.2021.642283/full</w:t>
      </w:r>
    </w:p>
    <w:p>
      <w:pPr>
        <w:spacing w:before="240" w:after="80"/>
      </w:pPr>
      <w:r>
        <w:rPr>
          <w:b/>
          <w:sz w:val="28"/>
        </w:rPr>
        <w:t>Section 5. Asymmetric Divergence in Political Psychology</w:t>
      </w:r>
    </w:p>
    <w:p>
      <w:pPr>
        <w:spacing w:after="120"/>
      </w:pPr>
      <w:r>
        <w:rPr>
          <w:i w:val="0"/>
          <w:sz w:val="22"/>
        </w:rPr>
        <w:t>This is Brian's strongest theoretical contribution: the same exogenous shock (the 2022 invasion) moves Estonian and Russian respondents in different and sometimes opposite directions across the EIM batteries. Published work confirming similar asymmetry strengthens the discussion chapter by establishing that the pattern is publishable, not artefactual.</w:t>
      </w:r>
    </w:p>
    <w:p>
      <w:pPr>
        <w:spacing w:before="160" w:after="40"/>
      </w:pPr>
      <w:r>
        <w:rPr>
          <w:b/>
          <w:i/>
          <w:sz w:val="24"/>
        </w:rPr>
        <w:t>Bilali, Celik, and Ok (revisited): the paradigm case</w:t>
      </w:r>
    </w:p>
    <w:p>
      <w:pPr>
        <w:spacing w:after="120"/>
      </w:pPr>
      <w:r>
        <w:rPr>
          <w:i w:val="0"/>
          <w:sz w:val="22"/>
        </w:rPr>
        <w:t>Already cited in Section 2. The headline finding is that during high-intensity Kurdish-Turkish conflict, Kurds (minority) showed higher social distance but also higher assimilative nationalism, less out-group negativity, and lower support for minority rights — a non-parallel movement compared with Turks (majority), who hardened uniformly. This is the closest published analogue of Brian's Russian community showing increased contact and decreased belief in inevitable conflict alongside increased polarisation on superordinate identity.</w:t>
      </w:r>
    </w:p>
    <w:p>
      <w:pPr>
        <w:spacing w:before="160" w:after="40"/>
      </w:pPr>
      <w:r>
        <w:rPr>
          <w:b/>
          <w:i/>
          <w:sz w:val="24"/>
        </w:rPr>
        <w:t>Bobo's group position threat framework</w:t>
      </w:r>
    </w:p>
    <w:p>
      <w:pPr>
        <w:spacing w:after="120"/>
      </w:pPr>
      <w:r>
        <w:rPr>
          <w:i w:val="0"/>
          <w:sz w:val="22"/>
        </w:rPr>
        <w:t>Lawrence Bobo's group position theory — derived from Blumer and developed through racial-attitudes research using the General Social Survey and the Chippewa treaty rights survey — provides the theoretical scaffolding for why majority and minority groups react differently to threat. The majority response is defensive consolidation; the minority response is heterogeneous, often combining identity-assertion with selective accommodation. Brian's findings can be placed within this tradition.</w:t>
      </w:r>
    </w:p>
    <w:p>
      <w:pPr>
        <w:spacing w:after="80"/>
        <w:ind w:left="340" w:hanging="340"/>
      </w:pPr>
      <w:r>
        <w:rPr>
          <w:sz w:val="20"/>
        </w:rPr>
        <w:t>Bobo, L. (1999). Prejudice as Group Position: Microfoundations of a Sociological Approach to Racism and Race Relations.</w:t>
      </w:r>
      <w:r>
        <w:rPr>
          <w:i/>
          <w:sz w:val="20"/>
        </w:rPr>
        <w:t xml:space="preserve"> Journal of Social Issues, 55(3), 445-472.</w:t>
      </w:r>
      <w:r>
        <w:rPr>
          <w:sz w:val="18"/>
        </w:rPr>
        <w:t xml:space="preserve">  https://scholar.harvard.edu/files/bobo/files/1999_prejudice_as_a_group_position.pdf</w:t>
      </w:r>
    </w:p>
    <w:p>
      <w:pPr>
        <w:spacing w:after="80"/>
        <w:ind w:left="340" w:hanging="340"/>
      </w:pPr>
      <w:r>
        <w:rPr>
          <w:sz w:val="20"/>
        </w:rPr>
        <w:t>Bobo, L., &amp; Hutchings, V. L. (1996). Perceptions of Racial Group Competition: Extending Blumer's Theory of Group Position to a Multiracial Social Context.</w:t>
      </w:r>
      <w:r>
        <w:rPr>
          <w:i/>
          <w:sz w:val="20"/>
        </w:rPr>
        <w:t xml:space="preserve"> American Sociological Review, 61(6), 951-972.</w:t>
      </w:r>
    </w:p>
    <w:p>
      <w:pPr>
        <w:spacing w:before="160" w:after="40"/>
      </w:pPr>
      <w:r>
        <w:rPr>
          <w:b/>
          <w:i/>
          <w:sz w:val="24"/>
        </w:rPr>
        <w:t>Loss of majority position: asymmetric reactions</w:t>
      </w:r>
    </w:p>
    <w:p>
      <w:pPr>
        <w:spacing w:after="120"/>
      </w:pPr>
      <w:r>
        <w:rPr>
          <w:i w:val="0"/>
          <w:sz w:val="22"/>
        </w:rPr>
        <w:t>The Seyranian and colleagues 2008 paper experimentally demonstrates that loss of majority position decreases perception of group-self similarity and expectations for positive interactions — but gaining majority position does not symmetrically increase them. This asymmetry maps onto Brian's finding that the war shock produced different magnitudes of response in the two communities.</w:t>
      </w:r>
    </w:p>
    <w:p>
      <w:pPr>
        <w:spacing w:after="80"/>
        <w:ind w:left="340" w:hanging="340"/>
      </w:pPr>
      <w:r>
        <w:rPr>
          <w:sz w:val="20"/>
        </w:rPr>
        <w:t>Seyranian, V., Atuel, H., &amp; Crano, W. D. (2008). Dimensions of majority and minority groups.</w:t>
      </w:r>
      <w:r>
        <w:rPr>
          <w:i/>
          <w:sz w:val="20"/>
        </w:rPr>
        <w:t xml:space="preserve"> Group Processes &amp; Intergroup Relations, 11(1), 21-37.</w:t>
      </w:r>
    </w:p>
    <w:p>
      <w:pPr>
        <w:spacing w:before="160" w:after="40"/>
      </w:pPr>
      <w:r>
        <w:rPr>
          <w:b/>
          <w:i/>
          <w:sz w:val="24"/>
        </w:rPr>
        <w:t>Outgroup threat and complex identities in Ukraine</w:t>
      </w:r>
    </w:p>
    <w:p>
      <w:pPr>
        <w:spacing w:after="120"/>
      </w:pPr>
      <w:r>
        <w:rPr>
          <w:i w:val="0"/>
          <w:sz w:val="22"/>
        </w:rPr>
        <w:t>Korostelina, Sweigart, and Toal (already cited) directly model how different identity profiles produce different threat-attitude relations. Their multivariate latent profile analysis is a useful template for Brian's argument that what looks like "no change" in Russian superordinate-identity mean conceals a community internally pulling apart.</w:t>
      </w:r>
    </w:p>
    <w:p>
      <w:pPr>
        <w:spacing w:before="240" w:after="80"/>
      </w:pPr>
      <w:r>
        <w:rPr>
          <w:b/>
          <w:sz w:val="28"/>
        </w:rPr>
        <w:t>Section 6. Variance and Polarisation as Substantive Findings</w:t>
      </w:r>
    </w:p>
    <w:p>
      <w:pPr>
        <w:spacing w:after="120"/>
      </w:pPr>
      <w:r>
        <w:rPr>
          <w:i w:val="0"/>
          <w:sz w:val="22"/>
        </w:rPr>
        <w:t>Brian's Levene's-test polarisation result (Russian superordinate-identity variance grew significantly from 2020 to 2023, while the mean barely moved) is methodologically grounded in this tradition. Reporting variance as a substantive outcome rather than as a statistical nuisance is well-established in opinion research.</w:t>
      </w:r>
    </w:p>
    <w:p>
      <w:pPr>
        <w:spacing w:before="160" w:after="40"/>
      </w:pPr>
      <w:r>
        <w:rPr>
          <w:b/>
          <w:i/>
          <w:sz w:val="24"/>
        </w:rPr>
        <w:t>DiMaggio, Evans, and Bryson on US opinion polarisation</w:t>
      </w:r>
    </w:p>
    <w:p>
      <w:pPr>
        <w:spacing w:after="120"/>
      </w:pPr>
      <w:r>
        <w:rPr>
          <w:i w:val="0"/>
          <w:sz w:val="22"/>
        </w:rPr>
        <w:t>The canonical article. The authors decompose polarisation into four components — dispersion, bimodality, constraint, and group differentiation — and use variance, kurtosis, and group differences as separate indicators. Their methodology is exactly what Brian's Levene's-test analysis applies. The paper also models the careful interpretive move: variance increase is itself a substantive finding about social cohesion, even when the mean is stable.</w:t>
      </w:r>
    </w:p>
    <w:p>
      <w:pPr>
        <w:spacing w:after="80"/>
        <w:ind w:left="340" w:hanging="340"/>
      </w:pPr>
      <w:r>
        <w:rPr>
          <w:sz w:val="20"/>
        </w:rPr>
        <w:t>DiMaggio, P., Evans, J., &amp; Bryson, B. (1996). Have American's Social Attitudes Become More Polarized?</w:t>
      </w:r>
      <w:r>
        <w:rPr>
          <w:i/>
          <w:sz w:val="20"/>
        </w:rPr>
        <w:t xml:space="preserve"> American Journal of Sociology, 102(3), 690-755.</w:t>
      </w:r>
      <w:r>
        <w:rPr>
          <w:sz w:val="18"/>
        </w:rPr>
        <w:t xml:space="preserve">  http://www.acsu.buffalo.edu/~jcampbel/documents/DimaggioEvansBryson.pdf</w:t>
      </w:r>
    </w:p>
    <w:p>
      <w:pPr>
        <w:spacing w:after="80"/>
        <w:ind w:left="340" w:hanging="340"/>
      </w:pPr>
      <w:r>
        <w:rPr>
          <w:sz w:val="20"/>
        </w:rPr>
        <w:t>Evans, J. H. (2003). Have Americans' Attitudes Become More Polarized? An Update.</w:t>
      </w:r>
      <w:r>
        <w:rPr>
          <w:i/>
          <w:sz w:val="20"/>
        </w:rPr>
        <w:t xml:space="preserve"> Social Science Quarterly, 84(1), 71-90.</w:t>
      </w:r>
      <w:r>
        <w:rPr>
          <w:sz w:val="18"/>
        </w:rPr>
        <w:t xml:space="preserve">  https://onlinelibrary.wiley.com/doi/abs/10.1111/1540-6237.8401005</w:t>
      </w:r>
    </w:p>
    <w:p>
      <w:pPr>
        <w:spacing w:before="160" w:after="40"/>
      </w:pPr>
      <w:r>
        <w:rPr>
          <w:b/>
          <w:i/>
          <w:sz w:val="24"/>
        </w:rPr>
        <w:t>Group-based polarisation measurement</w:t>
      </w:r>
    </w:p>
    <w:p>
      <w:pPr>
        <w:spacing w:after="120"/>
      </w:pPr>
      <w:r>
        <w:rPr>
          <w:i w:val="0"/>
          <w:sz w:val="22"/>
        </w:rPr>
        <w:t>The 2024 APSR paper by Levendusky and colleagues introduces the cluster-polarisation coefficient, explicitly modelling intergroup heterogeneity and intragroup homogeneity. The paper formalises why mean differences and variance comparisons are conceptually distinct measures of polarisation — reinforcing the case for Brian to report both.</w:t>
      </w:r>
    </w:p>
    <w:p>
      <w:pPr>
        <w:spacing w:after="80"/>
        <w:ind w:left="340" w:hanging="340"/>
      </w:pPr>
      <w:r>
        <w:rPr>
          <w:sz w:val="20"/>
        </w:rPr>
        <w:t>Levendusky, M., et al. (2024). A Group-Based Approach to Measuring Polarization.</w:t>
      </w:r>
      <w:r>
        <w:rPr>
          <w:i/>
          <w:sz w:val="20"/>
        </w:rPr>
        <w:t xml:space="preserve"> American Political Science Review, advance access.</w:t>
      </w:r>
      <w:r>
        <w:rPr>
          <w:sz w:val="18"/>
        </w:rPr>
        <w:t xml:space="preserve">  https://www.cambridge.org/core/journals/american-political-science-review/article/groupbased-approach-to-measuring-polarization/7979CFDC243FB1E21FE7AE3724B42EEA</w:t>
      </w:r>
    </w:p>
    <w:p>
      <w:pPr>
        <w:spacing w:before="160" w:after="40"/>
      </w:pPr>
      <w:r>
        <w:rPr>
          <w:b/>
          <w:i/>
          <w:sz w:val="24"/>
        </w:rPr>
        <w:t>Affective polarisation as a parallel research tradition</w:t>
      </w:r>
    </w:p>
    <w:p>
      <w:pPr>
        <w:spacing w:after="120"/>
      </w:pPr>
      <w:r>
        <w:rPr>
          <w:i w:val="0"/>
          <w:sz w:val="22"/>
        </w:rPr>
        <w:t>The Iyengar tradition on affective polarisation also relies on variance and distance measures rather than mean shifts alone. The 2019 Annual Review of Political Science article surveys the field. Useful for Brian's discussion as a methodological cousin: a body of work that measures social distance between two groups using multiple operational definitions, treating the choice of metric as a substantive matter.</w:t>
      </w:r>
    </w:p>
    <w:p>
      <w:pPr>
        <w:spacing w:after="80"/>
        <w:ind w:left="340" w:hanging="340"/>
      </w:pPr>
      <w:r>
        <w:rPr>
          <w:sz w:val="20"/>
        </w:rPr>
        <w:t>Iyengar, S., Lelkes, Y., Levendusky, M., Malhotra, N., &amp; Westwood, S. J. (2019). The Origins and Consequences of Affective Polarization in the United States.</w:t>
      </w:r>
      <w:r>
        <w:rPr>
          <w:i/>
          <w:sz w:val="20"/>
        </w:rPr>
        <w:t xml:space="preserve"> Annual Review of Political Science, 22, 129-146.</w:t>
      </w:r>
      <w:r>
        <w:rPr>
          <w:sz w:val="18"/>
        </w:rPr>
        <w:t xml:space="preserve">  https://pcl.sites.stanford.edu/sites/g/files/sbiybj22066/files/media/file/iyengar-ar-origins.pdf</w:t>
      </w:r>
    </w:p>
    <w:p>
      <w:pPr>
        <w:spacing w:after="80"/>
        <w:ind w:left="340" w:hanging="340"/>
      </w:pPr>
      <w:r>
        <w:rPr>
          <w:sz w:val="20"/>
        </w:rPr>
        <w:t>Reiljan, A. (2020). Fear and loathing across party lines (also) in Europe: Affective polarisation in European party systems.</w:t>
      </w:r>
      <w:r>
        <w:rPr>
          <w:i/>
          <w:sz w:val="20"/>
        </w:rPr>
        <w:t xml:space="preserve"> European Journal of Political Research, 59(2), 376-396.</w:t>
      </w:r>
    </w:p>
    <w:p>
      <w:pPr>
        <w:spacing w:before="240" w:after="80"/>
      </w:pPr>
      <w:r>
        <w:rPr>
          <w:b/>
          <w:sz w:val="28"/>
        </w:rPr>
        <w:t>Section 7. Recommended Structural Template for Brian's Thesis Chapters</w:t>
      </w:r>
    </w:p>
    <w:p>
      <w:pPr>
        <w:spacing w:after="120"/>
      </w:pPr>
      <w:r>
        <w:rPr>
          <w:i w:val="0"/>
          <w:sz w:val="22"/>
        </w:rPr>
        <w:t>Synthesising the patterns across Sections 1 to 6, here are six chapter-level recommendations Brian can apply directly.</w:t>
      </w:r>
    </w:p>
    <w:p>
      <w:pPr>
        <w:spacing w:before="160" w:after="40"/>
      </w:pPr>
      <w:r>
        <w:rPr>
          <w:b/>
          <w:i/>
          <w:sz w:val="24"/>
        </w:rPr>
        <w:t>1. Design section: frame the two waves as a quasi-natural-experiment opportunity, not an experiment</w:t>
      </w:r>
    </w:p>
    <w:p>
      <w:pPr>
        <w:spacing w:after="120"/>
      </w:pPr>
      <w:r>
        <w:rPr>
          <w:i w:val="0"/>
          <w:sz w:val="22"/>
        </w:rPr>
        <w:t>Ekman (2024), Bilali et al. (2014), and Korostelina et al. (2026) all treat their two-wave designs as repeated cross-sectional snapshots around a shock, not as panel comparisons. None claim causal identification. Brian's framing should explicitly say: the 2022 war is exogenous to EIM survey timing, but the design supports descriptive comparison only, not a within-person change. The Lebo and Weber (2015) and Wong et al. (2025) methodological pieces are the citations for this framing.</w:t>
      </w:r>
    </w:p>
    <w:p>
      <w:pPr>
        <w:spacing w:before="160" w:after="40"/>
      </w:pPr>
      <w:r>
        <w:rPr>
          <w:b/>
          <w:i/>
          <w:sz w:val="24"/>
        </w:rPr>
        <w:t>2. Composite construction: PCA plus alpha is the standard, CFA invariance is the bonus</w:t>
      </w:r>
    </w:p>
    <w:p>
      <w:pPr>
        <w:spacing w:after="120"/>
      </w:pPr>
      <w:r>
        <w:rPr>
          <w:i w:val="0"/>
          <w:sz w:val="22"/>
        </w:rPr>
        <w:t>Across Sections 1, 3, and 4, the standard reporting package is: (a) describe the items, (b) report Cronbach's alpha, (c) report PCA loadings or eigenvalues, (d) defend the choice of single-factor versus multi-factor structure on theoretical and empirical grounds. Brian already does all four. Measurement-invariance testing via multi-group CFA is the modern bonus that elevates a master's thesis methodologically without requiring substantive reanalysis.</w:t>
      </w:r>
    </w:p>
    <w:p>
      <w:pPr>
        <w:spacing w:before="160" w:after="40"/>
      </w:pPr>
      <w:r>
        <w:rPr>
          <w:b/>
          <w:i/>
          <w:sz w:val="24"/>
        </w:rPr>
        <w:t>3. Robustness checks: standard package</w:t>
      </w:r>
    </w:p>
    <w:p>
      <w:pPr>
        <w:spacing w:after="120"/>
      </w:pPr>
      <w:r>
        <w:rPr>
          <w:i w:val="0"/>
          <w:sz w:val="22"/>
        </w:rPr>
        <w:t>Three robustness checks recurred across the literature surveyed:</w:t>
      </w:r>
    </w:p>
    <w:p>
      <w:pPr>
        <w:pStyle w:val="ListBullet"/>
        <w:spacing w:after="60"/>
      </w:pPr>
      <w:r>
        <w:rPr>
          <w:sz w:val="22"/>
        </w:rPr>
        <w:t>Subgroup analyses by education, age, region, or language pathway (Brian has this via the edu_language subgroup analysis)</w:t>
      </w:r>
    </w:p>
    <w:p>
      <w:pPr>
        <w:pStyle w:val="ListBullet"/>
        <w:spacing w:after="60"/>
      </w:pPr>
      <w:r>
        <w:rPr>
          <w:sz w:val="22"/>
        </w:rPr>
        <w:t>Item-level decomposition when composite results are ambiguous (Brian has this via the item-decomposition charts)</w:t>
      </w:r>
    </w:p>
    <w:p>
      <w:pPr>
        <w:pStyle w:val="ListBullet"/>
        <w:spacing w:after="60"/>
      </w:pPr>
      <w:r>
        <w:rPr>
          <w:sz w:val="22"/>
        </w:rPr>
        <w:t>Listwise vs. pairwise comparison of how missing data handling affects results (Brian has this implicitly via the pairwise-deletion canonical TSV)</w:t>
      </w:r>
    </w:p>
    <w:p>
      <w:pPr>
        <w:spacing w:before="160" w:after="40"/>
      </w:pPr>
      <w:r>
        <w:rPr>
          <w:b/>
          <w:i/>
          <w:sz w:val="24"/>
        </w:rPr>
        <w:t>4. Limitations paragraph: standard formula</w:t>
      </w:r>
    </w:p>
    <w:p>
      <w:pPr>
        <w:spacing w:after="120"/>
      </w:pPr>
      <w:r>
        <w:rPr>
          <w:i w:val="0"/>
          <w:sz w:val="22"/>
        </w:rPr>
        <w:t>Almost every paper surveyed includes a methods-limitations paragraph covering: (a) repeated cross-section means no within-person inference; (b) measurement invariance limits comparison of latent means; (c) self-report bias and social desirability; (d) sample composition shifts between waves. Brian's draft should include each of these explicitly. The Russian sample composition shift from N ≈ 609 to N ≈ 522 (SESSION_LOG section 29 FLAG 1) belongs in this paragraph.</w:t>
      </w:r>
    </w:p>
    <w:p>
      <w:pPr>
        <w:spacing w:before="160" w:after="40"/>
      </w:pPr>
      <w:r>
        <w:rPr>
          <w:b/>
          <w:i/>
          <w:sz w:val="24"/>
        </w:rPr>
        <w:t>5. Figures and tables: conventional set</w:t>
      </w:r>
    </w:p>
    <w:p>
      <w:pPr>
        <w:spacing w:after="120"/>
      </w:pPr>
      <w:r>
        <w:rPr>
          <w:i w:val="0"/>
          <w:sz w:val="22"/>
        </w:rPr>
        <w:t>The conventional figure-table set is:</w:t>
      </w:r>
    </w:p>
    <w:p>
      <w:pPr>
        <w:pStyle w:val="ListBullet"/>
        <w:spacing w:after="60"/>
      </w:pPr>
      <w:r>
        <w:rPr>
          <w:sz w:val="22"/>
        </w:rPr>
        <w:t>A summary table of composite reliability statistics (alpha, items, scale direction)</w:t>
      </w:r>
    </w:p>
    <w:p>
      <w:pPr>
        <w:pStyle w:val="ListBullet"/>
        <w:spacing w:after="60"/>
      </w:pPr>
      <w:r>
        <w:rPr>
          <w:sz w:val="22"/>
        </w:rPr>
        <w:t>A means table by group and wave with N and SD</w:t>
      </w:r>
    </w:p>
    <w:p>
      <w:pPr>
        <w:pStyle w:val="ListBullet"/>
        <w:spacing w:after="60"/>
      </w:pPr>
      <w:r>
        <w:rPr>
          <w:sz w:val="22"/>
        </w:rPr>
        <w:t>An effect-size table with d and 95% CI</w:t>
      </w:r>
    </w:p>
    <w:p>
      <w:pPr>
        <w:pStyle w:val="ListBullet"/>
        <w:spacing w:after="60"/>
      </w:pPr>
      <w:r>
        <w:rPr>
          <w:sz w:val="22"/>
        </w:rPr>
        <w:t>One or two flagship visualisations (Brian has dumbbell and within-group bar charts)</w:t>
      </w:r>
    </w:p>
    <w:p>
      <w:pPr>
        <w:pStyle w:val="ListBullet"/>
        <w:spacing w:after="60"/>
      </w:pPr>
      <w:r>
        <w:rPr>
          <w:sz w:val="22"/>
        </w:rPr>
        <w:t>Optional: item-level distribution plots for the constructs where the composite picture is ambiguous</w:t>
      </w:r>
    </w:p>
    <w:p>
      <w:pPr>
        <w:spacing w:before="160" w:after="40"/>
      </w:pPr>
      <w:r>
        <w:rPr>
          <w:b/>
          <w:i/>
          <w:sz w:val="24"/>
        </w:rPr>
        <w:t>6. Discussion structure: substantive then methodological</w:t>
      </w:r>
    </w:p>
    <w:p>
      <w:pPr>
        <w:spacing w:after="120"/>
      </w:pPr>
      <w:r>
        <w:rPr>
          <w:i w:val="0"/>
          <w:sz w:val="22"/>
        </w:rPr>
        <w:t>The standard discussion structure surveyed runs: (a) restate the between-group and within-group pattern, (b) interpret it in light of the dominant theoretical framework (for Brian: contact theory, group position theory, common in-group identity), (c) handle the most surprising or asymmetric finding head-on, (d) acknowledge the measurement-invariance caveat, (e) close with policy or research implications. Brian's asymmetric-divergence finding sits naturally at step (c), with the polarisation-variance finding as a supporting subsection.</w:t>
      </w:r>
    </w:p>
    <w:p>
      <w:pPr>
        <w:spacing w:before="240" w:after="80"/>
      </w:pPr>
      <w:r>
        <w:rPr>
          <w:b/>
          <w:sz w:val="28"/>
        </w:rPr>
        <w:t>Section 8. Consolidated Bibliography (APA 7, Alphabetical)</w:t>
      </w:r>
    </w:p>
    <w:p>
      <w:pPr>
        <w:spacing w:after="120"/>
      </w:pPr>
      <w:r>
        <w:rPr>
          <w:i/>
          <w:sz w:val="20"/>
        </w:rPr>
        <w:t>All papers cited above, ordered alphabetically by first author. URLs and DOIs included where verified.</w:t>
      </w:r>
    </w:p>
    <w:p>
      <w:pPr>
        <w:spacing w:after="60"/>
        <w:ind w:left="340" w:hanging="340"/>
      </w:pPr>
      <w:r>
        <w:rPr>
          <w:sz w:val="20"/>
        </w:rPr>
        <w:t>Andre, S., Sarrasin, O., Reeskens, T., &amp; Davidov, E. (2017). Can we trust measures of political trust? Assessing measurement equivalence in diverse regime types. Social Indicators Research.</w:t>
      </w:r>
      <w:r>
        <w:rPr>
          <w:sz w:val="18"/>
        </w:rPr>
        <w:t xml:space="preserve">  https://pmc.ncbi.nlm.nih.gov/articles/PMC5579303/</w:t>
      </w:r>
    </w:p>
    <w:p>
      <w:pPr>
        <w:spacing w:after="60"/>
        <w:ind w:left="340" w:hanging="340"/>
      </w:pPr>
      <w:r>
        <w:rPr>
          <w:sz w:val="20"/>
        </w:rPr>
        <w:t>Ariely, G., &amp; Davidov, E. (2011). Assessment of measurement equivalence with cross-national and longitudinal surveys in political science. European Political Science, 11, 363-377.</w:t>
      </w:r>
      <w:r>
        <w:rPr>
          <w:sz w:val="18"/>
        </w:rPr>
        <w:t xml:space="preserve">  https://link.springer.com/article/10.1057/eps.2011.11</w:t>
      </w:r>
    </w:p>
    <w:p>
      <w:pPr>
        <w:spacing w:after="60"/>
        <w:ind w:left="340" w:hanging="340"/>
      </w:pPr>
      <w:r>
        <w:rPr>
          <w:sz w:val="20"/>
        </w:rPr>
        <w:t>Auers, D., &amp; colleagues (2023). Paradoxes of minority representation: a comparison of Russophone political attitudes in Estonia and Latvia. Journal of Baltic Studies, 54(3).</w:t>
      </w:r>
      <w:r>
        <w:rPr>
          <w:sz w:val="18"/>
        </w:rPr>
        <w:t xml:space="preserve">  https://www.tandfonline.com/doi/full/10.1080/01629778.2022.2150667</w:t>
      </w:r>
    </w:p>
    <w:p>
      <w:pPr>
        <w:spacing w:after="60"/>
        <w:ind w:left="340" w:hanging="340"/>
      </w:pPr>
      <w:r>
        <w:rPr>
          <w:sz w:val="20"/>
        </w:rPr>
        <w:t>Bilali, R., Celik, A. B., &amp; Ok, E. (2014). Psychological asymmetry in minority-majority relations at different stages of ethnic conflict. International Journal of Intercultural Relations, 43(B), 253-264.</w:t>
      </w:r>
      <w:r>
        <w:rPr>
          <w:sz w:val="18"/>
        </w:rPr>
        <w:t xml:space="preserve">  https://www.sciencedirect.com/science/article/abs/pii/S0147176714001096</w:t>
      </w:r>
    </w:p>
    <w:p>
      <w:pPr>
        <w:spacing w:after="60"/>
        <w:ind w:left="340" w:hanging="340"/>
      </w:pPr>
      <w:r>
        <w:rPr>
          <w:sz w:val="20"/>
        </w:rPr>
        <w:t>Bobo, L. (1999). Prejudice as group position: Microfoundations of a sociological approach to racism and race relations. Journal of Social Issues, 55(3), 445-472.</w:t>
      </w:r>
      <w:r>
        <w:rPr>
          <w:sz w:val="18"/>
        </w:rPr>
        <w:t xml:space="preserve">  https://scholar.harvard.edu/files/bobo/files/1999_prejudice_as_a_group_position.pdf</w:t>
      </w:r>
    </w:p>
    <w:p>
      <w:pPr>
        <w:spacing w:after="60"/>
        <w:ind w:left="340" w:hanging="340"/>
      </w:pPr>
      <w:r>
        <w:rPr>
          <w:sz w:val="20"/>
        </w:rPr>
        <w:t>Bobo, L., &amp; Hutchings, V. L. (1996). Perceptions of racial group competition: Extending Blumer's theory of group position to a multiracial social context. American Sociological Review, 61(6), 951-972.</w:t>
      </w:r>
    </w:p>
    <w:p>
      <w:pPr>
        <w:spacing w:after="60"/>
        <w:ind w:left="340" w:hanging="340"/>
      </w:pPr>
      <w:r>
        <w:rPr>
          <w:sz w:val="20"/>
        </w:rPr>
        <w:t>Cheskin, A. (2013). Exploring Russian-speaking identity from below: The case of Latvia. Journal of Baltic Studies, 44(3), 287-312.</w:t>
      </w:r>
      <w:r>
        <w:rPr>
          <w:sz w:val="18"/>
        </w:rPr>
        <w:t xml:space="preserve">  https://www.tandfonline.com/doi/full/10.1080/01629778.2012.712335</w:t>
      </w:r>
    </w:p>
    <w:p>
      <w:pPr>
        <w:spacing w:after="60"/>
        <w:ind w:left="340" w:hanging="340"/>
      </w:pPr>
      <w:r>
        <w:rPr>
          <w:sz w:val="20"/>
        </w:rPr>
        <w:t>Cheskin, A., &amp; Kachuyevski, A. (2019). The Russian-speaking populations in the post-Soviet space: Language, politics and identity. Europe-Asia Studies, 71(1), 1-23.</w:t>
      </w:r>
      <w:r>
        <w:rPr>
          <w:sz w:val="18"/>
        </w:rPr>
        <w:t xml:space="preserve">  https://eprints.gla.ac.uk/173351/1/173351.pdf</w:t>
      </w:r>
    </w:p>
    <w:p>
      <w:pPr>
        <w:spacing w:after="60"/>
        <w:ind w:left="340" w:hanging="340"/>
      </w:pPr>
      <w:r>
        <w:rPr>
          <w:sz w:val="20"/>
        </w:rPr>
        <w:t>Cieciuch, J., Davidov, E., Algesheimer, R., &amp; Schmidt, P. (2018). Testing for approximate measurement invariance of human values in the European Social Survey. Sociological Methods &amp; Research, 47(4), 665-686.</w:t>
      </w:r>
      <w:r>
        <w:rPr>
          <w:sz w:val="18"/>
        </w:rPr>
        <w:t xml:space="preserve">  https://journals.sagepub.com/doi/abs/10.1177/0049124117701478</w:t>
      </w:r>
    </w:p>
    <w:p>
      <w:pPr>
        <w:spacing w:after="60"/>
        <w:ind w:left="340" w:hanging="340"/>
      </w:pPr>
      <w:r>
        <w:rPr>
          <w:sz w:val="20"/>
        </w:rPr>
        <w:t>Davidov, E., Meuleman, B., Cieciuch, J., Schmidt, P., &amp; Billiet, J. (2014). Measurement equivalence in cross-national research. Annual Review of Sociology, 40, 55-75.</w:t>
      </w:r>
      <w:r>
        <w:rPr>
          <w:sz w:val="18"/>
        </w:rPr>
        <w:t xml:space="preserve">  https://www.annualreviews.org/doi/pdf/10.1146/annurev-soc-071913-043137</w:t>
      </w:r>
    </w:p>
    <w:p>
      <w:pPr>
        <w:spacing w:after="60"/>
        <w:ind w:left="340" w:hanging="340"/>
      </w:pPr>
      <w:r>
        <w:rPr>
          <w:sz w:val="20"/>
        </w:rPr>
        <w:t>Davidov, E., Muthen, B., &amp; Schmidt, P. (2018). Measurement invariance in cross-national studies: Challenging traditional approaches and bringing in new ones. Sociological Methods &amp; Research, 47(4), 631-636.</w:t>
      </w:r>
      <w:r>
        <w:rPr>
          <w:sz w:val="18"/>
        </w:rPr>
        <w:t xml:space="preserve">  https://journals.sagepub.com/doi/full/10.1177/0049124118789708</w:t>
      </w:r>
    </w:p>
    <w:p>
      <w:pPr>
        <w:spacing w:after="60"/>
        <w:ind w:left="340" w:hanging="340"/>
      </w:pPr>
      <w:r>
        <w:rPr>
          <w:sz w:val="20"/>
        </w:rPr>
        <w:t>DiMaggio, P., Evans, J., &amp; Bryson, B. (1996). Have American's social attitudes become more polarized? American Journal of Sociology, 102(3), 690-755.</w:t>
      </w:r>
      <w:r>
        <w:rPr>
          <w:sz w:val="18"/>
        </w:rPr>
        <w:t xml:space="preserve">  http://www.acsu.buffalo.edu/~jcampbel/documents/DimaggioEvansBryson.pdf</w:t>
      </w:r>
    </w:p>
    <w:p>
      <w:pPr>
        <w:spacing w:after="60"/>
        <w:ind w:left="340" w:hanging="340"/>
      </w:pPr>
      <w:r>
        <w:rPr>
          <w:sz w:val="20"/>
        </w:rPr>
        <w:t>Ekman, J. (2024). In the shadow of war: Public opinion in the Baltic states, 2014 and 2021. Journal of Baltic Studies (Baltic Worlds special issue).</w:t>
      </w:r>
      <w:r>
        <w:rPr>
          <w:sz w:val="18"/>
        </w:rPr>
        <w:t xml:space="preserve">  https://journals.sagepub.com/doi/full/10.1177/18793665241270812</w:t>
      </w:r>
    </w:p>
    <w:p>
      <w:pPr>
        <w:spacing w:after="60"/>
        <w:ind w:left="340" w:hanging="340"/>
      </w:pPr>
      <w:r>
        <w:rPr>
          <w:sz w:val="20"/>
        </w:rPr>
        <w:t>Evans, J. H. (2003). Have Americans' attitudes become more polarized? An update. Social Science Quarterly, 84(1), 71-90.</w:t>
      </w:r>
      <w:r>
        <w:rPr>
          <w:sz w:val="18"/>
        </w:rPr>
        <w:t xml:space="preserve">  https://onlinelibrary.wiley.com/doi/abs/10.1111/1540-6237.8401005</w:t>
      </w:r>
    </w:p>
    <w:p>
      <w:pPr>
        <w:spacing w:after="60"/>
        <w:ind w:left="340" w:hanging="340"/>
      </w:pPr>
      <w:r>
        <w:rPr>
          <w:sz w:val="20"/>
        </w:rPr>
        <w:t>Hewstone, M., Cairns, E., Voci, A., Hamberger, J., &amp; Niens, U. (2006). Intergroup contact, forgiveness, and experience of "The Troubles" in Northern Ireland. Journal of Social Issues, 62(1), 99-120.</w:t>
      </w:r>
      <w:r>
        <w:rPr>
          <w:sz w:val="18"/>
        </w:rPr>
        <w:t xml:space="preserve">  https://spssi.onlinelibrary.wiley.com/doi/abs/10.1111/j.1540-4560.2006.00441.x</w:t>
      </w:r>
    </w:p>
    <w:p>
      <w:pPr>
        <w:spacing w:after="60"/>
        <w:ind w:left="340" w:hanging="340"/>
      </w:pPr>
      <w:r>
        <w:rPr>
          <w:sz w:val="20"/>
        </w:rPr>
        <w:t>Hobolt, S. B., Leeper, T. J., &amp; Tilley, J. (2021). Policy preferences and policy legitimacy after referendums: Evidence from the Brexit negotiations. Political Behavior, 43, 1565-1593.</w:t>
      </w:r>
      <w:r>
        <w:rPr>
          <w:sz w:val="18"/>
        </w:rPr>
        <w:t xml:space="preserve">  https://link.springer.com/article/10.1007/s11109-020-09639-w</w:t>
      </w:r>
    </w:p>
    <w:p>
      <w:pPr>
        <w:spacing w:after="60"/>
        <w:ind w:left="340" w:hanging="340"/>
      </w:pPr>
      <w:r>
        <w:rPr>
          <w:sz w:val="20"/>
        </w:rPr>
        <w:t>Hobolt, S. B., &amp; Tilley, J. (2024). Tribal politics: How the Brexit vote reshaped Britain. Oxford University Press.</w:t>
      </w:r>
      <w:r>
        <w:rPr>
          <w:sz w:val="18"/>
        </w:rPr>
        <w:t xml:space="preserve">  https://global.oup.com/academic/product/tribal-politics-9780198911715</w:t>
      </w:r>
    </w:p>
    <w:p>
      <w:pPr>
        <w:spacing w:after="60"/>
        <w:ind w:left="340" w:hanging="340"/>
      </w:pPr>
      <w:r>
        <w:rPr>
          <w:sz w:val="20"/>
        </w:rPr>
        <w:t>Iyengar, S., Lelkes, Y., Levendusky, M., Malhotra, N., &amp; Westwood, S. J. (2019). The origins and consequences of affective polarization in the United States. Annual Review of Political Science, 22, 129-146.</w:t>
      </w:r>
      <w:r>
        <w:rPr>
          <w:sz w:val="18"/>
        </w:rPr>
        <w:t xml:space="preserve">  https://pcl.sites.stanford.edu/sites/g/files/sbiybj22066/files/media/file/iyengar-ar-origins.pdf</w:t>
      </w:r>
    </w:p>
    <w:p>
      <w:pPr>
        <w:spacing w:after="60"/>
        <w:ind w:left="340" w:hanging="340"/>
      </w:pPr>
      <w:r>
        <w:rPr>
          <w:sz w:val="20"/>
        </w:rPr>
        <w:t>Jasinskaja-Lahti, I., et al. (2018). Perceived status and national belonging: The case of Russian speakers in Finland and Estonia. International Review of Social Psychology, 31(1), 8.</w:t>
      </w:r>
      <w:r>
        <w:rPr>
          <w:sz w:val="18"/>
        </w:rPr>
        <w:t xml:space="preserve">  https://rips-irsp.com/articles/10.5334/irsp.149</w:t>
      </w:r>
    </w:p>
    <w:p>
      <w:pPr>
        <w:spacing w:after="60"/>
        <w:ind w:left="340" w:hanging="340"/>
      </w:pPr>
      <w:r>
        <w:rPr>
          <w:sz w:val="20"/>
        </w:rPr>
        <w:t>Korostelina, K. V., Sweigart, M. M., &amp; Toal, G. (2026). Outgroup threat, complex identities, and attitudes toward war and peace in Ukraine. Group Processes &amp; Intergroup Relations.</w:t>
      </w:r>
      <w:r>
        <w:rPr>
          <w:sz w:val="18"/>
        </w:rPr>
        <w:t xml:space="preserve">  https://doi.org/10.1177/13684302251344532</w:t>
      </w:r>
    </w:p>
    <w:p>
      <w:pPr>
        <w:spacing w:after="60"/>
        <w:ind w:left="340" w:hanging="340"/>
      </w:pPr>
      <w:r>
        <w:rPr>
          <w:sz w:val="20"/>
        </w:rPr>
        <w:t>Lebo, M. J., &amp; Weber, C. (2015). An effective approach to the repeated cross-sectional design. American Journal of Political Science, 59(1), 242-258.</w:t>
      </w:r>
      <w:r>
        <w:rPr>
          <w:sz w:val="18"/>
        </w:rPr>
        <w:t xml:space="preserve">  https://onlinelibrary.wiley.com/doi/abs/10.1111/ajps.12095</w:t>
      </w:r>
    </w:p>
    <w:p>
      <w:pPr>
        <w:spacing w:after="60"/>
        <w:ind w:left="340" w:hanging="340"/>
      </w:pPr>
      <w:r>
        <w:rPr>
          <w:sz w:val="20"/>
        </w:rPr>
        <w:t>Levendusky, M., et al. (2024). A group-based approach to measuring polarization. American Political Science Review, advance access.</w:t>
      </w:r>
      <w:r>
        <w:rPr>
          <w:sz w:val="18"/>
        </w:rPr>
        <w:t xml:space="preserve">  https://www.cambridge.org/core/journals/american-political-science-review/article/groupbased-approach-to-measuring-polarization/7979CFDC243FB1E21FE7AE3724B42EEA</w:t>
      </w:r>
    </w:p>
    <w:p>
      <w:pPr>
        <w:spacing w:after="60"/>
        <w:ind w:left="340" w:hanging="340"/>
      </w:pPr>
      <w:r>
        <w:rPr>
          <w:sz w:val="20"/>
        </w:rPr>
        <w:t>Marsh, H. W., et al. (2017). What to do when scalar invariance fails: The extended alignment method for multi-group factor analysis comparison of latent means across many groups. Psychological Methods, 23(3), 524-545.</w:t>
      </w:r>
      <w:r>
        <w:rPr>
          <w:sz w:val="18"/>
        </w:rPr>
        <w:t xml:space="preserve">  https://www.researchgate.net/publication/312343260</w:t>
      </w:r>
    </w:p>
    <w:p>
      <w:pPr>
        <w:spacing w:after="60"/>
        <w:ind w:left="340" w:hanging="340"/>
      </w:pPr>
      <w:r>
        <w:rPr>
          <w:sz w:val="20"/>
        </w:rPr>
        <w:t>Meeusen, C., &amp; Jacobs, L. (2017). Walloons as general or specific others? A comparison of anti-Walloon and anti-immigrant attitudes in Flanders. Psychologica Belgica, 57(3), 76-95.</w:t>
      </w:r>
      <w:r>
        <w:rPr>
          <w:sz w:val="18"/>
        </w:rPr>
        <w:t xml:space="preserve">  https://psychologicabelgica.com/articles/10.5334/pb.336</w:t>
      </w:r>
    </w:p>
    <w:p>
      <w:pPr>
        <w:spacing w:after="60"/>
        <w:ind w:left="340" w:hanging="340"/>
      </w:pPr>
      <w:r>
        <w:rPr>
          <w:sz w:val="20"/>
        </w:rPr>
        <w:t>Meeusen, C., et al. (2018). Insights into the Belgian linguistic conflict from a (social) psychological perspective. Psychologica Belgica, 58(1), 1-12.</w:t>
      </w:r>
      <w:r>
        <w:rPr>
          <w:sz w:val="18"/>
        </w:rPr>
        <w:t xml:space="preserve">  https://pmc.ncbi.nlm.nih.gov/articles/PMC6194511/</w:t>
      </w:r>
    </w:p>
    <w:p>
      <w:pPr>
        <w:spacing w:after="60"/>
        <w:ind w:left="340" w:hanging="340"/>
      </w:pPr>
      <w:r>
        <w:rPr>
          <w:sz w:val="20"/>
        </w:rPr>
        <w:t>Pettigrew, T. F., &amp; Tropp, L. R. (2006). A meta-analytic test of intergroup contact theory. Journal of Personality and Social Psychology, 90(5), 751-783.</w:t>
      </w:r>
      <w:r>
        <w:rPr>
          <w:sz w:val="18"/>
        </w:rPr>
        <w:t xml:space="preserve">  https://pubmed.ncbi.nlm.nih.gov/16737372/</w:t>
      </w:r>
    </w:p>
    <w:p>
      <w:pPr>
        <w:spacing w:after="60"/>
        <w:ind w:left="340" w:hanging="340"/>
      </w:pPr>
      <w:r>
        <w:rPr>
          <w:sz w:val="20"/>
        </w:rPr>
        <w:t>Putnam, R. D. (2007). E pluribus unum: Diversity and community in the twenty-first century. The 2006 Johan Skytte Prize Lecture. Scandinavian Political Studies, 30(2), 137-174.</w:t>
      </w:r>
      <w:r>
        <w:rPr>
          <w:sz w:val="18"/>
        </w:rPr>
        <w:t xml:space="preserve">  https://onlinelibrary.wiley.com/doi/abs/10.1111/j.1467-9477.2007.00176.x</w:t>
      </w:r>
    </w:p>
    <w:p>
      <w:pPr>
        <w:spacing w:after="60"/>
        <w:ind w:left="340" w:hanging="340"/>
      </w:pPr>
      <w:r>
        <w:rPr>
          <w:sz w:val="20"/>
        </w:rPr>
        <w:t>Reiljan, A. (2020). Fear and loathing across party lines (also) in Europe: Affective polarisation in European party systems. European Journal of Political Research, 59(2), 376-396.</w:t>
      </w:r>
    </w:p>
    <w:p>
      <w:pPr>
        <w:spacing w:after="60"/>
        <w:ind w:left="340" w:hanging="340"/>
      </w:pPr>
      <w:r>
        <w:rPr>
          <w:sz w:val="20"/>
        </w:rPr>
        <w:t>Seyranian, V., Atuel, H., &amp; Crano, W. D. (2008). Dimensions of majority and minority groups. Group Processes &amp; Intergroup Relations, 11(1), 21-37.</w:t>
      </w:r>
    </w:p>
    <w:p>
      <w:pPr>
        <w:spacing w:after="60"/>
        <w:ind w:left="340" w:hanging="340"/>
      </w:pPr>
      <w:r>
        <w:rPr>
          <w:sz w:val="20"/>
        </w:rPr>
        <w:t>Sturgis, P., Brunton-Smith, I., Read, S., &amp; Allum, N. (2011). Does ethnic diversity erode trust? Putnam's 'hunkering down' thesis reconsidered. British Journal of Political Science, 41(1), 57-82.</w:t>
      </w:r>
      <w:r>
        <w:rPr>
          <w:sz w:val="18"/>
        </w:rPr>
        <w:t xml:space="preserve">  https://www.cambridge.org/core/journals/british-journal-of-political-science/article/abs/does-ethnic-diversity-erode-trust-putnams-hunkering-down-thesis-reconsidered/DC0DA871517729C51D08C4C7FF34E03B</w:t>
      </w:r>
    </w:p>
    <w:p>
      <w:pPr>
        <w:spacing w:after="60"/>
        <w:ind w:left="340" w:hanging="340"/>
      </w:pPr>
      <w:r>
        <w:rPr>
          <w:sz w:val="20"/>
        </w:rPr>
        <w:t>Valk, A. (2000). Ethnic identity, ethnic attitudes, self-esteem, and esteem toward others among Estonian and Russian adolescents. Journal of Adolescent Research, 15(6), 637-651.</w:t>
      </w:r>
      <w:r>
        <w:rPr>
          <w:sz w:val="18"/>
        </w:rPr>
        <w:t xml:space="preserve">  https://journals.sagepub.com/doi/10.1177/0743558400156002</w:t>
      </w:r>
    </w:p>
    <w:p>
      <w:pPr>
        <w:spacing w:after="60"/>
        <w:ind w:left="340" w:hanging="340"/>
      </w:pPr>
      <w:r>
        <w:rPr>
          <w:sz w:val="20"/>
        </w:rPr>
        <w:t>Verkuyten, M., &amp; Martinovic, B. (2012a). Immigrants' national identification: Meanings, determinants, and consequences. Social Issues and Policy Review, 6(1), 82-112.</w:t>
      </w:r>
      <w:r>
        <w:rPr>
          <w:sz w:val="18"/>
        </w:rPr>
        <w:t xml:space="preserve">  https://spssi.onlinelibrary.wiley.com/doi/abs/10.1111/j.1751-2409.2011.01036.x</w:t>
      </w:r>
    </w:p>
    <w:p>
      <w:pPr>
        <w:spacing w:after="60"/>
        <w:ind w:left="340" w:hanging="340"/>
      </w:pPr>
      <w:r>
        <w:rPr>
          <w:sz w:val="20"/>
        </w:rPr>
        <w:t>Verkuyten, M., &amp; Martinovic, B. (2012b). Social identity complexity and immigrants' attitude toward the host nation. Personality and Social Psychology Bulletin, 38(9), 1165-1177.</w:t>
      </w:r>
      <w:r>
        <w:rPr>
          <w:sz w:val="18"/>
        </w:rPr>
        <w:t xml:space="preserve">  https://journals.sagepub.com/doi/10.1177/0146167212446164</w:t>
      </w:r>
    </w:p>
    <w:p>
      <w:pPr>
        <w:spacing w:after="60"/>
        <w:ind w:left="340" w:hanging="340"/>
      </w:pPr>
      <w:r>
        <w:rPr>
          <w:sz w:val="20"/>
        </w:rPr>
        <w:t>Vihalemm, T., &amp; Juzefovics, J. (2022). Navigating conflicts through the media: The sceptical and self-responsible repertoires of Baltic Russian-speakers. East European Politics and Societies, 36(4), 1213-1238.</w:t>
      </w:r>
      <w:r>
        <w:rPr>
          <w:sz w:val="18"/>
        </w:rPr>
        <w:t xml:space="preserve">  https://journals.sagepub.com/doi/abs/10.1177/0888325420964946</w:t>
      </w:r>
    </w:p>
    <w:p>
      <w:pPr>
        <w:spacing w:after="60"/>
        <w:ind w:left="340" w:hanging="340"/>
      </w:pPr>
      <w:r>
        <w:rPr>
          <w:sz w:val="20"/>
        </w:rPr>
        <w:t>Vihalemm, T., &amp; Masso, A. (2003). Identity dynamics of Russian-speakers of Estonia in the transition period. Journal of Baltic Studies, 34(1), 92-116.</w:t>
      </w:r>
      <w:r>
        <w:rPr>
          <w:sz w:val="18"/>
        </w:rPr>
        <w:t xml:space="preserve">  https://www.semanticscholar.org/paper/Identity-dynamics-of-Russian-speakers-of-Estonia-in-Vihalemm-Masso/bea98869a431985febffb373008b17e79174a048</w:t>
      </w:r>
    </w:p>
    <w:p>
      <w:pPr>
        <w:spacing w:after="60"/>
        <w:ind w:left="340" w:hanging="340"/>
      </w:pPr>
      <w:r>
        <w:rPr>
          <w:sz w:val="20"/>
        </w:rPr>
        <w:t>Welzel, C., Kruse, S., &amp; Brunkert, L. (2021). Measurement invariance of liberal and authoritarian notions of democracy: Evidence from the World Values Survey. Frontiers in Political Science, 3, 642283.</w:t>
      </w:r>
      <w:r>
        <w:rPr>
          <w:sz w:val="18"/>
        </w:rPr>
        <w:t xml:space="preserve">  https://www.frontiersin.org/journals/political-science/articles/10.3389/fpos.2021.642283/full</w:t>
      </w:r>
    </w:p>
    <w:p>
      <w:pPr>
        <w:spacing w:after="60"/>
        <w:ind w:left="340" w:hanging="340"/>
      </w:pPr>
      <w:r>
        <w:rPr>
          <w:sz w:val="20"/>
        </w:rPr>
        <w:t>Whitt, S., &amp; Page, D. (2025a). War, social preferences, and anti-outgroup behavior: Experimental evidence from Russia's invasion of Ukraine. Journal of Peace Research.</w:t>
      </w:r>
      <w:r>
        <w:rPr>
          <w:sz w:val="18"/>
        </w:rPr>
        <w:t xml:space="preserve">  https://doi.org/10.1177/00223433251318931</w:t>
      </w:r>
    </w:p>
    <w:p>
      <w:pPr>
        <w:spacing w:after="60"/>
        <w:ind w:left="340" w:hanging="340"/>
      </w:pPr>
      <w:r>
        <w:rPr>
          <w:sz w:val="20"/>
        </w:rPr>
        <w:t>Whitt, S., &amp; Page, D. (2025b). War-related victimization and social distance toward others: Evidence following Russia's 2022 invasion of Ukraine. International Political Science Review.</w:t>
      </w:r>
      <w:r>
        <w:rPr>
          <w:sz w:val="18"/>
        </w:rPr>
        <w:t xml:space="preserve">  https://journals.sagepub.com/doi/10.1177/00108367251321435</w:t>
      </w:r>
    </w:p>
    <w:p>
      <w:pPr>
        <w:spacing w:after="60"/>
        <w:ind w:left="340" w:hanging="340"/>
      </w:pPr>
      <w:r>
        <w:rPr>
          <w:sz w:val="20"/>
        </w:rPr>
        <w:t>Wong, J., et al. (2025). Difference-in-differences analysis with repeated cross-sectional survey data. Health Services and Outcomes Research Methodology, advance access.</w:t>
      </w:r>
      <w:r>
        <w:rPr>
          <w:sz w:val="18"/>
        </w:rPr>
        <w:t xml:space="preserve">  https://pubmed.ncbi.nlm.nih.gov/41346788/</w:t>
      </w:r>
    </w:p>
    <w:p>
      <w:pPr>
        <w:spacing w:before="240" w:after="80"/>
      </w:pPr>
      <w:r>
        <w:rPr>
          <w:b/>
          <w:sz w:val="28"/>
        </w:rPr>
        <w:t>Notable Gaps in the Literature</w:t>
      </w:r>
    </w:p>
    <w:p>
      <w:pPr>
        <w:spacing w:after="120"/>
      </w:pPr>
      <w:r>
        <w:rPr>
          <w:i w:val="0"/>
          <w:sz w:val="22"/>
        </w:rPr>
        <w:t>Three gaps emerged from the search where Brian's contribution may be particularly novel:</w:t>
      </w:r>
    </w:p>
    <w:p>
      <w:pPr>
        <w:pStyle w:val="ListBullet"/>
        <w:spacing w:after="60"/>
      </w:pPr>
      <w:r>
        <w:rPr>
          <w:sz w:val="22"/>
        </w:rPr>
        <w:t>Quantitative EIM analysis as a thesis. Most existing EIM-based work is qualitative or descriptive policy reporting (e.g., the Praxis summaries). Quantitative replication using PCA-validated composites, Cohen's d with CIs, and CFA invariance is rarer.</w:t>
      </w:r>
    </w:p>
    <w:p>
      <w:pPr>
        <w:pStyle w:val="ListBullet"/>
        <w:spacing w:after="60"/>
      </w:pPr>
      <w:r>
        <w:rPr>
          <w:sz w:val="22"/>
        </w:rPr>
        <w:t>Post-2022 Baltic minority attitudes with two-wave EIM-style instruments. Most post-2022 European public opinion work covers majority populations or pooled samples; Brian's design with separate Estonian and Russian subsamples on a battery of intergroup-relations composites is unusual.</w:t>
      </w:r>
    </w:p>
    <w:p>
      <w:pPr>
        <w:pStyle w:val="ListBullet"/>
        <w:spacing w:after="60"/>
      </w:pPr>
      <w:r>
        <w:rPr>
          <w:sz w:val="22"/>
        </w:rPr>
        <w:t>Variance-as-substantive-finding in Baltic intergroup work. The within-Russian polarisation pattern Brian detects via Levene's tests is, to my knowledge, not formally reported elsewhere for this population. The DiMaggio framework provides the methodology; the Baltic application is new.</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