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28"/>
        </w:rPr>
        <w:t>Consensual ICC Analysis — Comparative Opportunity Assessment</w:t>
      </w:r>
    </w:p>
    <w:p>
      <w:r>
        <w:rPr>
          <w:i/>
          <w:sz w:val="20"/>
        </w:rPr>
        <w:t>Application of Sidanius &amp; Pratto's variance-decomposition framework ("The Power of Consensual Ideology," eqs. 1–5) to the Q44 / K3X1 Comparative Opportunity Assessment composite. Tests whether the perception of comparative opportunity functions as a CONSENSUAL legitimizing myth (shared across Estonian and Russian respondents) or as a DISSENSUAL contested ideology (where the two groups systematically disagree).</w:t>
      </w:r>
    </w:p>
    <w:p>
      <w:r>
        <w:rPr>
          <w:i/>
          <w:sz w:val="20"/>
        </w:rPr>
        <w:t>Decomposition: σ²_Total = σ²_Dissensual + σ²_Consensual + σ²_Error, where σ²_Dissensual = between-group variance, σ²_Consensual = α × within-group variance, σ²_Error = (1 − α) × within-group variance. ICC = σ²_Consensual / (σ²_Dissensual + σ²_Consensual). ICC near 1 → consensual / shared; ICC near 0 → dissensual / contested.</w:t>
      </w:r>
    </w:p>
    <w:p>
      <w:r>
        <w:rPr>
          <w:b/>
          <w:sz w:val="24"/>
        </w:rPr>
        <w:t>Composite-Level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2020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2023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 (combined)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1282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1362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Cronbach's 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0.9105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0.9086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σ²_Total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0.3209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0.3088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σ²_Dissensual (between)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0.0438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0.0352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σ²_Consensual (α × within)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0.2528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0.2490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σ²_Error ((1−α) × within)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0.0248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0.0250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ICC (consensual)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0.8523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0.8763</w:t>
            </w:r>
          </w:p>
        </w:tc>
      </w:tr>
    </w:tbl>
    <w:p/>
    <w:p>
      <w:r>
        <w:rPr>
          <w:sz w:val="20"/>
        </w:rPr>
        <w:t>Substantive reading: the composite-level ICC is 0.852 in 2020 and 0.876 in 2023, placing the construct in the 'highly consensual' region in 2020 and 'highly consensual' in 2023. In Sidanius &amp; Pratto's terms, an ICC near 1 indicates that almost all reliable variance in perceived comparative opportunity is consensual (shared across the two ethnic groups), characteristic of a legitimizing myth. An ICC near 0 indicates the two groups systematically disagree, characteristic of a contested or dissensual ideology.</w:t>
      </w:r>
    </w:p>
    <w:p>
      <w:r>
        <w:rPr>
          <w:b/>
          <w:sz w:val="24"/>
        </w:rPr>
        <w:t>Item-Level Raw ICCs (Upper Bound, No α Adjustment)</w:t>
      </w:r>
    </w:p>
    <w:p>
      <w:r>
        <w:rPr>
          <w:i/>
          <w:sz w:val="20"/>
        </w:rPr>
        <w:t>Item-level ICCs are computed without the α correction (single items have no internal-consistency reliability). They therefore treat all within-group variance as consensual and represent an UPPER BOUND on the consensual ICC per item. Useful for comparing items relative to each other.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ICC 2020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ICC 2023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Δ (2023 − 2020)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Q44_1  </w:t>
            </w:r>
            <w:r>
              <w:rPr>
                <w:sz w:val="18"/>
              </w:rPr>
              <w:t>Material well-being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0.798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0.839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+0.041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Q44_2  </w:t>
            </w:r>
            <w:r>
              <w:rPr>
                <w:sz w:val="18"/>
              </w:rPr>
              <w:t>Cultural participation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0.997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0.961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-0.035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Q44_3  </w:t>
            </w:r>
            <w:r>
              <w:rPr>
                <w:sz w:val="18"/>
              </w:rPr>
              <w:t>Education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0.957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0.922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-0.035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Q44_4  </w:t>
            </w:r>
            <w:r>
              <w:rPr>
                <w:sz w:val="18"/>
              </w:rPr>
              <w:t>Social / political rights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0.808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0.846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+0.038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Q44_5  </w:t>
            </w:r>
            <w:r>
              <w:rPr>
                <w:sz w:val="18"/>
              </w:rPr>
              <w:t>Entrepreneurship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0.988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0.946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-0.042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Q44_6  </w:t>
            </w:r>
            <w:r>
              <w:rPr>
                <w:sz w:val="18"/>
              </w:rPr>
              <w:t>Career &amp; jobs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0.827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0.893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+0.066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Q44_7  </w:t>
            </w:r>
            <w:r>
              <w:rPr>
                <w:sz w:val="18"/>
              </w:rPr>
              <w:t>Medical care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0.828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0.996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+0.167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Q44_8  </w:t>
            </w:r>
            <w:r>
              <w:rPr>
                <w:sz w:val="18"/>
              </w:rPr>
              <w:t>Housing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0.908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+0.091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Q44_9  </w:t>
            </w:r>
            <w:r>
              <w:rPr>
                <w:sz w:val="18"/>
              </w:rPr>
              <w:t>Leisure &amp; holidays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0.956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0.975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+0.019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Q44_10  </w:t>
            </w:r>
            <w:r>
              <w:rPr>
                <w:sz w:val="18"/>
              </w:rPr>
              <w:t>Children &amp; youth opportunities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0.965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0.940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-0.024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Q44_11  </w:t>
            </w:r>
            <w:r>
              <w:rPr>
                <w:sz w:val="18"/>
              </w:rPr>
              <w:t>Sports &amp; exercise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0.997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0.991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-0.006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 xml:space="preserve">Q44_12  </w:t>
            </w:r>
            <w:r>
              <w:rPr>
                <w:sz w:val="18"/>
              </w:rPr>
              <w:t>State benefits / services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0.968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0.935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-0.033</w:t>
            </w:r>
          </w:p>
        </w:tc>
      </w:tr>
    </w:tbl>
    <w:p>
      <w:r>
        <w:rPr>
          <w:b/>
          <w:sz w:val="24"/>
        </w:rPr>
        <w:t>Per-Group Within-Group Variance (Descriptive)</w:t>
      </w:r>
    </w:p>
    <w:p>
      <w:r>
        <w:rPr>
          <w:i/>
          <w:sz w:val="20"/>
        </w:rPr>
        <w:t>Within-group variance reflects how much disagreement exists WITHIN each ethnic group on the composite. Larger within-group variance means the group is internally divided; smaller variance means the group is internally united in its perception. Useful complement to the ICC because it surfaces whether ideological consensus / dissensus is more on one side.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b/>
                <w:sz w:val="18"/>
              </w:rPr>
              <w:t>Group / Year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M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SD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18"/>
              </w:rPr>
              <w:t>Variance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Estonian 2020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679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2.555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0.494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0.2439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Russian 2020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603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2.136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0.561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0.3151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Estonian 2023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844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2.707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0.517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0.2677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Russian 2023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518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2.321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0.533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0.2838</w:t>
            </w:r>
          </w:p>
        </w:tc>
      </w:tr>
    </w:tbl>
    <w:p>
      <w:r>
        <w:rPr>
          <w:b/>
          <w:sz w:val="24"/>
        </w:rPr>
        <w:t>Methodological Notes</w:t>
      </w:r>
    </w:p>
    <w:p>
      <w:r>
        <w:rPr>
          <w:i/>
          <w:sz w:val="20"/>
        </w:rPr>
        <w:t>The ICC computation here follows Sidanius &amp; Pratto's published operationalization. Two implementation choices worth noting: (1) Cronbach's α was computed pooled across both ethnic groups, treating the combined sample as one population. An alternative is per-group α averaged. (2) Item-level raw ICCs treat all within-group variance as consensual; the true item-level ICC accounting for measurement error would be lower. The composite-level ICC is the more rigorous estimate. (3) DK responses (code 9) were recoded to NaN before all computations, consistent with the rest of the project's analytical pipeline.</w:t>
      </w:r>
    </w:p>
    <w:p>
      <w:r>
        <w:rPr>
          <w:i/>
          <w:sz w:val="20"/>
        </w:rPr>
        <w:t>The framework was developed for cross-status-group comparisons in stable societies (Sidanius &amp; Pratto's example uses U.S. and post-Soviet data). Whether the Estonian–Russian comparison fits 'stable society' assumptions in the post-2022 period is itself a substantive question the analysis can raise.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