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28"/>
        </w:rPr>
        <w:t>Contact-Theory Regression Check</w:t>
      </w:r>
    </w:p>
    <w:p>
      <w:r>
        <w:rPr>
          <w:i/>
          <w:sz w:val="20"/>
        </w:rPr>
        <w:t>Targeted bivariate regression of social distance from the primary out-group on frequency of contact with that out-group, run separately for each group × year cell. Tests the classical contact-theory prediction (Allport, 1954; Pettigrew &amp; Tropp, 2006) that more contact is associated with less social distance.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/>
            <w:r>
              <w:rPr>
                <w:b/>
                <w:sz w:val="18"/>
              </w:rPr>
              <w:t>Group × Year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b₁ (slope)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585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−0.2081 ***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0.0289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[−0.2649, −0.1513]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−7.19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0.082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476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−0.0816 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0.0345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[−0.1493, −0.0139]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−2.37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.018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0.012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663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−0.2313 ***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0.0346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[−0.2992, −0.1633]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−6.68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0.063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806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−0.2414 ***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0.0359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[−0.3119, −0.1709]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−6.72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0.053</w:t>
            </w:r>
          </w:p>
        </w:tc>
      </w:tr>
    </w:tbl>
    <w:p/>
    <w:p>
      <w:r>
        <w:rPr>
          <w:i/>
          <w:sz w:val="16"/>
        </w:rPr>
        <w:t>Note. Each row reports an OLS regression of the SD: Primary Out-group composite (higher = more social distance) on the Contact composite (inverted via 6 − raw, so higher = more frequent contact). For Russian respondents, the primary out-group is Estonian-speakers; for Estonian respondents, Russian-speakers. b₁ is the unstandardised slope coefficient: a one-unit increase in contact frequency is associated with the indicated change on the 1–5 SD scale. Contact theory predicts a negative slope (more contact → less distance). Listwise deletion: respondents missing on either composite are excluded. Cross-sectional design: associations are not causal. Significance: *** p &lt; .001, ** p &lt; .01, * p &lt; .05, ns = not significant.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