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2937"/>
          <w:sz w:val="28"/>
        </w:rPr>
        <w:t>Contact-Theory Regression Check — Q68_3 / K6X6_3 "Understand opinions"</w:t>
      </w:r>
    </w:p>
    <w:p>
      <w:r>
        <w:rPr>
          <w:i/>
          <w:sz w:val="20"/>
        </w:rPr>
        <w:t>Targeted bivariate regression of the single-item Q68_3 / K6X6_3 ("Estonia should make efforts to understand the opinions of other nationalities") on frequency of contact with the primary out-group, run separately for each group × year cell. This item is one of the two cross-direction divergent items in the project (Estonian within-group d = −0.16 **; Russian within-group d = +0.23 ***). Companion to the MIS composite-level regression (Contact_Theory_Regression_MIS.docx).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75"/>
        <w:gridCol w:w="1275"/>
        <w:gridCol w:w="1275"/>
        <w:gridCol w:w="1275"/>
        <w:gridCol w:w="1275"/>
        <w:gridCol w:w="1275"/>
        <w:gridCol w:w="1275"/>
        <w:gridCol w:w="1275"/>
      </w:tblGrid>
      <w:tr>
        <w:tc>
          <w:tcPr>
            <w:tcW w:type="dxa" w:w="1275"/>
          </w:tcPr>
          <w:p>
            <w:r/>
            <w:r>
              <w:rPr>
                <w:b/>
                <w:sz w:val="18"/>
              </w:rPr>
              <w:t>Group × Year</w:t>
            </w:r>
          </w:p>
        </w:tc>
        <w:tc>
          <w:tcPr>
            <w:tcW w:type="dxa" w:w="1275"/>
          </w:tcPr>
          <w:p>
            <w:r/>
            <w:r>
              <w:rPr>
                <w:b/>
                <w:sz w:val="18"/>
              </w:rPr>
              <w:t>n</w:t>
            </w:r>
          </w:p>
        </w:tc>
        <w:tc>
          <w:tcPr>
            <w:tcW w:type="dxa" w:w="1275"/>
          </w:tcPr>
          <w:p>
            <w:r/>
            <w:r>
              <w:rPr>
                <w:b/>
                <w:sz w:val="18"/>
              </w:rPr>
              <w:t>b₁ (slope)</w:t>
            </w:r>
          </w:p>
        </w:tc>
        <w:tc>
          <w:tcPr>
            <w:tcW w:type="dxa" w:w="1275"/>
          </w:tcPr>
          <w:p>
            <w:r/>
            <w:r>
              <w:rPr>
                <w:b/>
                <w:sz w:val="18"/>
              </w:rPr>
              <w:t>SE</w:t>
            </w:r>
          </w:p>
        </w:tc>
        <w:tc>
          <w:tcPr>
            <w:tcW w:type="dxa" w:w="1275"/>
          </w:tcPr>
          <w:p>
            <w:r/>
            <w:r>
              <w:rPr>
                <w:b/>
                <w:sz w:val="18"/>
              </w:rPr>
              <w:t>95% CI</w:t>
            </w:r>
          </w:p>
        </w:tc>
        <w:tc>
          <w:tcPr>
            <w:tcW w:type="dxa" w:w="1275"/>
          </w:tcPr>
          <w:p>
            <w:r/>
            <w:r>
              <w:rPr>
                <w:b/>
                <w:sz w:val="18"/>
              </w:rPr>
              <w:t>t</w:t>
            </w:r>
          </w:p>
        </w:tc>
        <w:tc>
          <w:tcPr>
            <w:tcW w:type="dxa" w:w="1275"/>
          </w:tcPr>
          <w:p>
            <w:r/>
            <w:r>
              <w:rPr>
                <w:b/>
                <w:sz w:val="18"/>
              </w:rPr>
              <w:t>p</w:t>
            </w:r>
          </w:p>
        </w:tc>
        <w:tc>
          <w:tcPr>
            <w:tcW w:type="dxa" w:w="1275"/>
          </w:tcPr>
          <w:p>
            <w:r/>
            <w:r>
              <w:rPr>
                <w:b/>
                <w:sz w:val="18"/>
              </w:rPr>
              <w:t>R²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Russian 2020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568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−0.0327 ns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0.0246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[−0.0809, +0.0156]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−1.33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.185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0.003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Russian 2023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466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−0.0538 *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0.0245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[−0.1018, −0.0057]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−2.20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.028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0.010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Estonian 2020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636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+0.0728 *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0.0297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[+0.0145, +0.1311]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+2.45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.014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0.009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Estonian 2023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780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+0.1444 ***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0.0269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[+0.0915, +0.1973]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+5.36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&lt; .001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0.036</w:t>
            </w:r>
          </w:p>
        </w:tc>
      </w:tr>
    </w:tbl>
    <w:p/>
    <w:p>
      <w:r>
        <w:rPr>
          <w:i/>
          <w:sz w:val="16"/>
        </w:rPr>
        <w:t>Note. Each row reports an OLS regression of the Q68_3 / K6X6_3 item (inverted via 5 − raw, so higher = stronger agreement that Estonia should make efforts to understand the opinions of other nationalities) on the Contact composite (inverted via 6 − raw, so higher = more frequent contact). For Russian respondents, contact is with Estonian-speakers (Q51 / K4X1); for Estonian respondents, with Russian-speakers (Q52 / K4X2). Item-level analysis avoids the measurement-invariance complications of the composite-level MIS regression. Listwise deletion. Cross-sectional design; associations are not causal. Significance: *** p &lt; .001, ** p &lt; .01, * p &lt; .05, ns = not significant.</w:t>
      </w:r>
    </w:p>
    <w:sectPr w:rsidR="00FC693F" w:rsidRPr="0006063C" w:rsidSect="00034616">
      <w:pgSz w:w="12240" w:h="15840"/>
      <w:pgMar w:top="1134" w:right="1020" w:bottom="113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