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2937"/>
          <w:sz w:val="28"/>
        </w:rPr>
        <w:t>Contact-Theory Regression Check — Superordinate Identity</w:t>
      </w:r>
    </w:p>
    <w:p>
      <w:r>
        <w:rPr>
          <w:i/>
          <w:sz w:val="20"/>
        </w:rPr>
        <w:t>Targeted bivariate regression of Superordinate Identity (sense of belonging to Estonian society) on frequency of contact with the primary out-group, run separately for each group × year cell. Companion to the SD: Primary Out-group, Minority Inclusion Support, and Belief in Inevitable Conflict regressions. Tests whether more contact predicts stronger superordinate belonging.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</w:tcPr>
          <w:p>
            <w:r/>
            <w:r>
              <w:rPr>
                <w:b/>
                <w:sz w:val="18"/>
              </w:rPr>
              <w:t>Group × Year</w:t>
            </w:r>
          </w:p>
        </w:tc>
        <w:tc>
          <w:tcPr>
            <w:tcW w:type="dxa" w:w="1275"/>
          </w:tcPr>
          <w:p>
            <w:r/>
            <w:r>
              <w:rPr>
                <w:b/>
                <w:sz w:val="18"/>
              </w:rPr>
              <w:t>n</w:t>
            </w:r>
          </w:p>
        </w:tc>
        <w:tc>
          <w:tcPr>
            <w:tcW w:type="dxa" w:w="1275"/>
          </w:tcPr>
          <w:p>
            <w:r/>
            <w:r>
              <w:rPr>
                <w:b/>
                <w:sz w:val="18"/>
              </w:rPr>
              <w:t>b₁ (slope)</w:t>
            </w:r>
          </w:p>
        </w:tc>
        <w:tc>
          <w:tcPr>
            <w:tcW w:type="dxa" w:w="1275"/>
          </w:tcPr>
          <w:p>
            <w:r/>
            <w:r>
              <w:rPr>
                <w:b/>
                <w:sz w:val="18"/>
              </w:rPr>
              <w:t>SE</w:t>
            </w:r>
          </w:p>
        </w:tc>
        <w:tc>
          <w:tcPr>
            <w:tcW w:type="dxa" w:w="1275"/>
          </w:tcPr>
          <w:p>
            <w:r/>
            <w:r>
              <w:rPr>
                <w:b/>
                <w:sz w:val="18"/>
              </w:rPr>
              <w:t>95% CI</w:t>
            </w:r>
          </w:p>
        </w:tc>
        <w:tc>
          <w:tcPr>
            <w:tcW w:type="dxa" w:w="1275"/>
          </w:tcPr>
          <w:p>
            <w:r/>
            <w:r>
              <w:rPr>
                <w:b/>
                <w:sz w:val="18"/>
              </w:rPr>
              <w:t>t</w:t>
            </w:r>
          </w:p>
        </w:tc>
        <w:tc>
          <w:tcPr>
            <w:tcW w:type="dxa" w:w="1275"/>
          </w:tcPr>
          <w:p>
            <w:r/>
            <w:r>
              <w:rPr>
                <w:b/>
                <w:sz w:val="18"/>
              </w:rPr>
              <w:t>p</w:t>
            </w:r>
          </w:p>
        </w:tc>
        <w:tc>
          <w:tcPr>
            <w:tcW w:type="dxa" w:w="1275"/>
          </w:tcPr>
          <w:p>
            <w:r/>
            <w:r>
              <w:rPr>
                <w:b/>
                <w:sz w:val="18"/>
              </w:rPr>
              <w:t>R²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Russian 2020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600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+0.1224 ***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0.0231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[+0.0771, +0.1677]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+5.31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&lt; .001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0.045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Russian 2023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517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+0.1910 ***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0.0305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[+0.1311, +0.2508]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+6.27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&lt; .001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0.071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Estonian 2020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699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−0.0753 ***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0.0180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[−0.1105, −0.0401]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−4.20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&lt; .001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0.025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Estonian 2023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861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−0.0106 ns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0.0187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[−0.0473, +0.0261]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−0.57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.572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0.000</w:t>
            </w:r>
          </w:p>
        </w:tc>
      </w:tr>
    </w:tbl>
    <w:p/>
    <w:p>
      <w:r>
        <w:rPr>
          <w:i/>
          <w:sz w:val="16"/>
        </w:rPr>
        <w:t>Note. Each row reports an OLS regression of the Superordinate Identity composite (Q67_4 / K6X5_3 reverse-coded via 5 − raw within the composite, then composite inverted via 5 − raw so higher = stronger belonging — matching user-facing chart conventions) on the Contact composite (inverted via 6 − raw, so higher = more frequent contact). For Russian respondents, contact is with Estonian-speakers (Q51 / K4X1); for Estonian respondents, with Russian-speakers (Q52 / K4X2). Contact theory predicts a POSITIVE slope (more contact → stronger belonging). Listwise deletion. Cross-sectional design; associations are not causal. Significance: *** p &lt; .001, ** p &lt; .01, * p &lt; .05, ns = not significant.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