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2"/>
        </w:rPr>
        <w:t>Effect Sizes with 95% Confidence Intervals</w:t>
      </w:r>
    </w:p>
    <w:p>
      <w:r>
        <w:rPr>
          <w:i/>
          <w:sz w:val="18"/>
        </w:rPr>
        <w:t>Cohen's d (root-mean-square SD denominator) for between-group (Estonian vs. Russian) and within-group (2020 → 2023) comparisons across all 11 variables. Variables marked (inv.) have been scale-inverted so that positive d indicates more of the construct.</w:t>
      </w:r>
    </w:p>
    <w:p/>
    <w:p>
      <w:r>
        <w:rPr>
          <w:b/>
          <w:sz w:val="24"/>
        </w:rPr>
        <w:t>Table 1. Between-Group Comparisons (Estonian vs. Russian)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Year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Estonian M (SD), N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Russian M (SD), N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Cohen's d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  <w:vAlign w:val="center"/>
          </w:tcPr>
          <w:p>
            <w:r/>
            <w:r>
              <w:rPr>
                <w:b/>
                <w:sz w:val="18"/>
              </w:rPr>
              <w:t>Sig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3.55 (0.51),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2.92 (0.66), n = 602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+1.08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[+0.96, +1.20]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3.50 (0.60), n = 865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(0.79), n = 517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+0.79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[+0.68, +0.90]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2.51 (0.88), n = 665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1.90 (0.80), n = 587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+0.74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[+0.62, +0.85]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(1.04), n = 810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1.83 (0.77), n = 477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[+1.06, +1.30]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(1.01),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3.12 (1.02), n = 578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[-0.32, -0.10]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0.0003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2.70 (0.90), n = 855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2.60 (0.81), n = 516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[-0.00, +0.22]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0.049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3.44 (0.49),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3.86 (0.56), n = 603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-0.79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[-0.91, -0.68]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3.29 (0.52), n = 844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3.68 (0.53), n = 518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-0.74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[-0.85, -0.62]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2.22 (0.57),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1.97 (0.58), n = 601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+0.44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[+0.33, +0.55]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2.28 (0.67), n = 855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1.79 (0.58), n = 507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+0.78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[+0.67, +0.90]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2.79 (0.70), n = 678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3.43 (0.59), n = 583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-1.00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[-1.12, -0.89]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2.67 (0.77), n = 844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3.46 (0.60), n = 505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-1.14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[-1.26, -1.02]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4.15 (0.98), n = 702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+1.89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[+1.76, +2.02]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4.26 (0.86), n = 865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+1.57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[+1.45, +1.69]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4.21 (0.88), n = 607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-2.25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[-2.39, -2.11]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4.29 (0.80), n = 520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-2.25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[-2.38, -2.11]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(0.94), n = 630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2.69 (0.81), n = 591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+0.30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[+0.18, +0.41]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2.94 (0.95), n = 787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2.81 (0.84), n = 498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[+0.03, +0.26]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3.76 (0.51),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3.57 (0.59), n = 593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+0.34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[+0.23, +0.45]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3.77 (0.51), n = 847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3.73 (0.53), n = 513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[-0.02, +0.20]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0.116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-0.11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[-0.22, +0.00]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0.054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2023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-0.53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[-0.64, -0.42]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b/>
          <w:sz w:val="24"/>
        </w:rPr>
        <w:t>Table 2. Within-Group Change, 2020 → 2023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c>
          <w:tcPr>
            <w:tcW w:type="dxa" w:w="1246"/>
          </w:tcPr>
          <w:p>
            <w:r/>
            <w:r>
              <w:rPr>
                <w:b/>
                <w:sz w:val="18"/>
              </w:rPr>
              <w:t>Variable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Group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2020 M (SD), N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2023 M (SD), N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Cohen's d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95% CI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p</w:t>
            </w:r>
          </w:p>
        </w:tc>
        <w:tc>
          <w:tcPr>
            <w:tcW w:type="dxa" w:w="1246"/>
          </w:tcPr>
          <w:p>
            <w:r/>
            <w:r>
              <w:rPr>
                <w:b/>
                <w:sz w:val="18"/>
              </w:rPr>
              <w:t>Sig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3.55 (0.51),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3.50 (0.60), n = 865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[-0.19, +0.00]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0.059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Superordinate Identity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2.92 (0.66), n = 602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(0.79), n = 517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[-0.08, +0.16]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0.524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2.51 (0.88), n = 665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(1.04), n = 810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+0.42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[+0.31, +0.52]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Primary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1.90 (0.80), n = 587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1.83 (0.77), n = 477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-0.08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[-0.20, +0.04]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0.205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2.91 (1.01),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2.70 (0.90), n = 855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-0.23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[-0.33, -0.12]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SD: General Out-group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3.12 (1.02), n = 578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2.60 (0.81), n = 516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-0.56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[-0.68, -0.44]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3.44 (0.49), n = 679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3.29 (0.52), n = 844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-0.30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[-0.40, -0.20]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Comparative Opportunity Assessment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3.86 (0.56), n = 603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3.68 (0.53), n = 518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-0.34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[-0.46, -0.22]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2.22 (0.57),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2.28 (0.67), n = 855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[-0.01, +0.19]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0.077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Belief in Inevitable Conflict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1.97 (0.58), n = 601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1.79 (0.58), n = 507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-0.32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[-0.44, -0.20]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2.79 (0.70), n = 678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2.67 (0.77), n = 844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-0.15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[-0.25, -0.05]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0.003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Minority Support Inclusion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3.43 (0.59), n = 583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3.46 (0.60), n = 505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[-0.08, +0.16]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0.490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4.15 (0.98), n = 702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4.26 (0.86), n = 865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[+0.02, +0.22]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Estonian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+0.51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[+0.39, +0.63]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[+0.00, +0.20]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0.042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Russian Speakers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4.21 (0.88), n = 607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4.29 (0.80), n = 520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+0.09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[-0.03, +0.21]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0.133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2.95 (0.94), n = 630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2.94 (0.95), n = 787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-0.01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[-0.12, +0.09]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0.816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Group ID Patterns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2.69 (0.81), n = 591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2.81 (0.84), n = 498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[+0.02, +0.26]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0.022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3.76 (0.51), n = 697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3.77 (0.51), n = 847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+0.02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[-0.08, +0.12]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0.660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ns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Territorial Attachment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3.57 (0.59), n = 593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3.73 (0.53), n = 513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+0.27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[+0.15, +0.39]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Estonian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2.02 (1.06), n = 701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2.13 (1.10), n = 864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+0.10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[+0.00, +0.20]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0.042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</w:t>
            </w:r>
          </w:p>
        </w:tc>
      </w:tr>
      <w:tr>
        <w:tc>
          <w:tcPr>
            <w:tcW w:type="dxa" w:w="1246"/>
          </w:tcPr>
          <w:p>
            <w:r/>
            <w:r>
              <w:rPr>
                <w:sz w:val="17"/>
              </w:rPr>
              <w:t>Contact: Out-group (inv.)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Russian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2.14 (1.14), n = 606</w:t>
            </w:r>
          </w:p>
        </w:tc>
        <w:tc>
          <w:tcPr>
            <w:tcW w:type="dxa" w:w="1246"/>
          </w:tcPr>
          <w:p>
            <w:r/>
            <w:r>
              <w:rPr>
                <w:sz w:val="17"/>
              </w:rPr>
              <w:t>2.71 (1.10), n = 521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+0.51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[+0.39, +0.63]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&lt;.0001</w:t>
            </w:r>
          </w:p>
        </w:tc>
        <w:tc>
          <w:tcPr>
            <w:tcW w:type="dxa" w:w="1246"/>
          </w:tcPr>
          <w:p>
            <w:pPr>
              <w:jc w:val="right"/>
            </w:pPr>
            <w:r/>
            <w:r>
              <w:rPr>
                <w:sz w:val="17"/>
              </w:rPr>
              <w:t>***</w:t>
            </w:r>
          </w:p>
        </w:tc>
      </w:tr>
    </w:tbl>
    <w:p/>
    <w:p>
      <w:r>
        <w:rPr>
          <w:i/>
          <w:sz w:val="16"/>
        </w:rPr>
        <w:t>Notes. Cohen's d uses the root-mean-square SD denominator: d = (M₁ − M₂) / √[(SD₁² + SD₂²) / 2]. 95% CIs use the asymptotic standard error: SE(d) = √[(n₁ + n₂)/(n₁n₂) + d² / (2(n₁ + n₂ − 2))]. All comparisons are independent-samples Welch's t-tests; the EIM is cross-sectional at each wave (different respondents in 2020 and 2023). Significance: *** p &lt; .001, ** p &lt; .01, * p &lt; .05, ns = not significant. Variables marked (inv.) were scale-inverted (raw scale: lower = more of the construct) so that positive d in this table corresponds to more of the construct (e.g., more belonging, more contact). SD: General Out-group uses different items in 2020 (3 items, new immigrants) vs. 2023 (6 items, other Europeans + non-Europeans); within-group change estimates for that variable should be interpreted with caution.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