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Out-group Language Ability → SD: Primary Out-group Regression</w:t>
      </w:r>
    </w:p>
    <w:p>
      <w:r>
        <w:rPr>
          <w:i/>
          <w:sz w:val="20"/>
        </w:rPr>
        <w:t>Targeted bivariate regression of social distance from the primary out-group on self-reported ability in that out-group's language, run separately for each group × year cell. Linguistic-contact extension of the classical contact-theory test (Allport 1954; Pettigrew &amp; Tropp 2006).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b/>
                <w:sz w:val="18"/>
              </w:rPr>
              <w:t>Group × Year</w:t>
            </w:r>
          </w:p>
        </w:tc>
        <w:tc>
          <w:tcPr>
            <w:tcW w:type="dxa" w:w="1133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133"/>
          </w:tcPr>
          <w:p>
            <w:r/>
            <w:r>
              <w:rPr>
                <w:b/>
                <w:sz w:val="18"/>
              </w:rPr>
              <w:t>b₁ (slope)</w:t>
            </w:r>
          </w:p>
        </w:tc>
        <w:tc>
          <w:tcPr>
            <w:tcW w:type="dxa" w:w="1133"/>
          </w:tcPr>
          <w:p>
            <w:r/>
            <w:r>
              <w:rPr>
                <w:b/>
                <w:sz w:val="18"/>
              </w:rPr>
              <w:t>β (std.)</w:t>
            </w:r>
          </w:p>
        </w:tc>
        <w:tc>
          <w:tcPr>
            <w:tcW w:type="dxa" w:w="1133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133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133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1133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133"/>
          </w:tcPr>
          <w:p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Estonian 2020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599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−0.2214 ***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−0.176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0.0523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[−0.3239, −0.1189]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−4.23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Estonian 2023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699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−0.2759 ***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−0.193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0.0547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[−0.3831, −0.1687]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−5.04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Russian 2020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529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−0.2594 ***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−0.226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0.0529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[−0.3631, −0.1557]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−4.90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1133"/>
          </w:tcPr>
          <w:p>
            <w:r>
              <w:rPr>
                <w:sz w:val="18"/>
              </w:rPr>
              <w:t>Russian 2023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432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−0.1454 *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−0.115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0.0677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[−0.2780, −0.0128]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−2.15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.032</w:t>
            </w:r>
          </w:p>
        </w:tc>
        <w:tc>
          <w:tcPr>
            <w:tcW w:type="dxa" w:w="1133"/>
          </w:tcPr>
          <w:p>
            <w:r>
              <w:rPr>
                <w:sz w:val="18"/>
              </w:rPr>
              <w:t>0.013</w:t>
            </w:r>
          </w:p>
        </w:tc>
      </w:tr>
    </w:tbl>
    <w:p/>
    <w:p>
      <w:r>
        <w:rPr>
          <w:i/>
          <w:sz w:val="16"/>
        </w:rPr>
        <w:t>Note. Each row reports an OLS regression of SD: Primary Out-group PC1 (higher = more social distance) on out-group language ability (1 = none … 6 = native). PC1 is fit on the three SD items, separately per group, pooled across years (items differ by group so a pooled-across-groups PC1 is not defined; this means cross-group PC1 metrics are similar but not strictly identical). HC3 robust standard errors. b₁ = unstandardised slope per 1-unit increase in language ability. β = standardised slope. Contact theory predicts a negative slope. Listwise deletion. Cross-sectional design — no causal interpretation. *** p &lt; .001, ** p &lt; .01, * p &lt; .05, ns = not significant.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