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0"/>
        </w:rPr>
        <w:t>Russian Respondents — Subgroup Robustness by Education Language</w:t>
      </w:r>
    </w:p>
    <w:p>
      <w:r>
        <w:rPr>
          <w:i/>
          <w:sz w:val="18"/>
        </w:rPr>
        <w:t>Within-Russian comparison: schooling in Russian-only vs. any Estonian-language exposure (2023 wave). This addresses the Blindspot Round 2 audit's flag that the headline ethnicity comparison may obscure heterogeneity within the Russian sample by educational pathway.</w:t>
      </w:r>
    </w:p>
    <w:p/>
    <w:p>
      <w:r>
        <w:rPr>
          <w:b/>
        </w:rPr>
        <w:t>Subgroups (2023 Russian respondents only — 2020 SPSS file does not carry an equivalent of T19_1..T19_5)</w:t>
      </w:r>
    </w:p>
    <w:p>
      <w:r>
        <w:t xml:space="preserve">  • A. Russian-only schooling (edu_language = 2):  N = 484</w:t>
        <w:br/>
        <w:t xml:space="preserve">  • B. Any Estonian-school exposure (1, 3, or 4):  N = 38</w:t>
        <w:br/>
        <w:t xml:space="preserve">  • Excluded (other / missing): N = 0</w:t>
      </w:r>
    </w:p>
    <w:p/>
    <w:p>
      <w:r>
        <w:rPr>
          <w:b/>
          <w:sz w:val="22"/>
        </w:rPr>
        <w:t>Comparison Table — d is (B − A) / RMS-SD, so positive d means the Estonian-school-exposure subgroup scores higher on the construct.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A. Russian-only M (SD), N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B. Estonian-exposure M (SD), N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Cohen's d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2.93 (0.79), n = 479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3.12 (0.77),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+0.24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[-0.09, +0.57]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0.159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SD: Primary Out-group (vs Estonian spkrs)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1.84 (0.77), n = 453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1.67 (0.75), n = 24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-0.23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[-0.64, +0.18]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0.272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2.61 (0.80), n = 478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2.55 (0.92),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-0.07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[-0.40, +0.26]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0.695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3.68 (0.53), n = 480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3.62 (0.57),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-0.12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[-0.45, +0.21]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0.505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3.20 (0.58), n = 469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3.33 (0.66),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+0.20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[-0.13, +0.53]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0.271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Minority Support Inclusion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3.46 (0.59), n = 468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3.41 (0.71), n = 37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[-0.41, +0.26]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0.676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Contact: Estonian Speakers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2.65 (1.06), n = 483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3.53 (1.23),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+0.77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[+0.43, +1.10]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Contact: Russian Speakers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4.29 (0.79), n = 482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4.25 (0.89),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[-0.38, +0.28]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0.776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2.80 (0.84), n = 461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2.89 (0.81), n = 37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+0.11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[-0.22, +0.45]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0.513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7"/>
              </w:rPr>
              <w:t>Territorial Attachment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3.73 (0.52), n = 475</w:t>
            </w:r>
          </w:p>
        </w:tc>
        <w:tc>
          <w:tcPr>
            <w:tcW w:type="dxa" w:w="1425"/>
          </w:tcPr>
          <w:p>
            <w:r/>
            <w:r>
              <w:rPr>
                <w:sz w:val="17"/>
              </w:rPr>
              <w:t>3.66 (0.67), n = 38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-0.12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[-0.46, +0.21]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0.505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i/>
          <w:sz w:val="16"/>
        </w:rPr>
        <w:t>Notes. The Estonian-school-exposure subgroup (B) is small (N ≈ 38) so confidence intervals are wide; interpretation is restricted to the direction of effects, not their precise magnitude. A negative d indicates that Russian-school-only respondents scored higher on the construct than Russian respondents with any Estonian-language schooling exposure. Cohen's d uses root-mean-square SD: d = (M₁ − M₂) / √[(SD₁² + SD₂²) / 2]. Significance: *** p&lt;.001, ** p&lt;.01, * p&lt;.05, ns = not significant.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