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 xml:space="preserve">Table X. </w:t>
      </w:r>
      <w:r>
        <w:rPr>
          <w:i/>
          <w:sz w:val="20"/>
        </w:rPr>
        <w:t>Within-respondent paired comparison of Estonians' social distance from their primary out-group (Russian-speakers) versus generic out-groups, 2020 and 2023.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/>
            <w:r>
              <w:rPr>
                <w:b/>
                <w:sz w:val="18"/>
              </w:rPr>
              <w:t>Wave</w:t>
            </w:r>
          </w:p>
        </w:tc>
        <w:tc>
          <w:tcPr>
            <w:tcW w:type="dxa" w:w="1108"/>
          </w:tcPr>
          <w:p>
            <w:r/>
            <w:r>
              <w:rPr>
                <w:b/>
                <w:i/>
                <w:sz w:val="18"/>
              </w:rPr>
              <w:t>n</w:t>
            </w:r>
          </w:p>
        </w:tc>
        <w:tc>
          <w:tcPr>
            <w:tcW w:type="dxa" w:w="1108"/>
          </w:tcPr>
          <w:p>
            <w:r/>
            <w:r>
              <w:rPr>
                <w:b/>
                <w:i/>
                <w:sz w:val="18"/>
              </w:rPr>
              <w:t>M</w:t>
            </w:r>
            <w:r>
              <w:rPr>
                <w:b/>
                <w:sz w:val="18"/>
              </w:rPr>
              <w:t>ₘPri (SD)</w:t>
            </w:r>
          </w:p>
        </w:tc>
        <w:tc>
          <w:tcPr>
            <w:tcW w:type="dxa" w:w="1108"/>
          </w:tcPr>
          <w:p>
            <w:r/>
            <w:r>
              <w:rPr>
                <w:b/>
                <w:i/>
                <w:sz w:val="18"/>
              </w:rPr>
              <w:t>M</w:t>
            </w:r>
            <w:r>
              <w:rPr>
                <w:b/>
                <w:sz w:val="18"/>
              </w:rPr>
              <w:t>ₘGen (SD)</w:t>
            </w:r>
          </w:p>
        </w:tc>
        <w:tc>
          <w:tcPr>
            <w:tcW w:type="dxa" w:w="1108"/>
          </w:tcPr>
          <w:p>
            <w:r/>
            <w:r>
              <w:rPr>
                <w:b/>
                <w:i/>
                <w:sz w:val="18"/>
              </w:rPr>
              <w:t>M</w:t>
            </w:r>
            <w:r>
              <w:rPr>
                <w:b/>
                <w:sz w:val="18"/>
              </w:rPr>
              <w:t>ₘdiff (SD)</w:t>
            </w:r>
          </w:p>
        </w:tc>
        <w:tc>
          <w:tcPr>
            <w:tcW w:type="dxa" w:w="1108"/>
          </w:tcPr>
          <w:p>
            <w:r/>
            <w:r>
              <w:rPr>
                <w:b/>
                <w:i/>
                <w:sz w:val="18"/>
              </w:rPr>
              <w:t>t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i/>
                <w:sz w:val="18"/>
              </w:rPr>
              <w:t>df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type="dxa" w:w="1108"/>
          </w:tcPr>
          <w:p>
            <w:r/>
            <w:r>
              <w:rPr>
                <w:b/>
                <w:i/>
                <w:sz w:val="18"/>
              </w:rPr>
              <w:t>p</w:t>
            </w:r>
          </w:p>
        </w:tc>
        <w:tc>
          <w:tcPr>
            <w:tcW w:type="dxa" w:w="1108"/>
          </w:tcPr>
          <w:p>
            <w:r/>
            <w:r>
              <w:rPr>
                <w:b/>
                <w:i/>
                <w:sz w:val="18"/>
              </w:rPr>
              <w:t>d</w:t>
            </w:r>
            <w:r>
              <w:rPr>
                <w:b/>
                <w:sz w:val="18"/>
              </w:rPr>
              <w:t>ₘz [95% CI]</w:t>
            </w:r>
          </w:p>
        </w:tc>
        <w:tc>
          <w:tcPr>
            <w:tcW w:type="dxa" w:w="1108"/>
          </w:tcPr>
          <w:p>
            <w:r/>
            <w:r>
              <w:rPr>
                <w:b/>
                <w:sz w:val="18"/>
              </w:rPr>
              <w:t>Direction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18"/>
              </w:rPr>
              <w:t>2020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645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2.52 (0.88)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2.91 (1.00)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−0.38 (0.81)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−11.98 (644)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&lt; .001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−0.47 [−0.55, −0.39]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Primary &lt; General</w:t>
            </w:r>
          </w:p>
        </w:tc>
      </w:tr>
      <w:tr>
        <w:tc>
          <w:tcPr>
            <w:tcW w:type="dxa" w:w="1108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800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2.92 (1.03)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2.72 (0.89)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+0.21 (0.87)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+6.71 (799)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&lt; .001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+0.24 [+0.17, +0.31]</w:t>
            </w:r>
          </w:p>
        </w:tc>
        <w:tc>
          <w:tcPr>
            <w:tcW w:type="dxa" w:w="1108"/>
          </w:tcPr>
          <w:p>
            <w:r/>
            <w:r>
              <w:rPr>
                <w:sz w:val="18"/>
              </w:rPr>
              <w:t>Primary &gt; General</w:t>
            </w:r>
          </w:p>
        </w:tc>
      </w:tr>
    </w:tbl>
    <w:p/>
    <w:p>
      <w:r>
        <w:rPr>
          <w:i/>
          <w:sz w:val="18"/>
        </w:rPr>
        <w:t xml:space="preserve">Note. </w:t>
      </w:r>
      <w:r>
        <w:rPr>
          <w:sz w:val="18"/>
        </w:rPr>
        <w:t xml:space="preserve">Each respondent contributes both a Primary and a General SD score within the same survey wave. </w:t>
      </w:r>
      <w:r>
        <w:rPr>
          <w:i/>
          <w:sz w:val="18"/>
        </w:rPr>
        <w:t>M</w:t>
      </w:r>
      <w:r>
        <w:rPr>
          <w:sz w:val="18"/>
        </w:rPr>
        <w:t xml:space="preserve">ₘdiff = M(Primary) − M(General); a negative value indicates that Russian-speakers are perceived as less socially distant than generic out-groups, a positive value indicates the reverse. Cohen's </w:t>
      </w:r>
      <w:r>
        <w:rPr>
          <w:i/>
          <w:sz w:val="18"/>
        </w:rPr>
        <w:t>d</w:t>
      </w:r>
      <w:r>
        <w:rPr>
          <w:sz w:val="18"/>
        </w:rPr>
        <w:t xml:space="preserve">ₘz = Mₘdiff / SDₘdiff (paired-sample standardised effect size). 95% CI computed using the Hedges &amp; Olkin (1985) variance approximation. </w:t>
      </w:r>
      <w:r>
        <w:rPr>
          <w:sz w:val="18"/>
        </w:rPr>
        <w:t xml:space="preserve">Welch's paired </w:t>
      </w:r>
      <w:r>
        <w:rPr>
          <w:i/>
          <w:sz w:val="18"/>
        </w:rPr>
        <w:t>t</w:t>
      </w:r>
      <w:r>
        <w:rPr>
          <w:sz w:val="18"/>
        </w:rPr>
        <w:t>-test; Wilcoxon signed-rank confirms both significance results (p &lt; .001 in both waves). Items: Primary = Q57_1 / Q58_1 / Q59_1 (Estonian respondents rating Russian-speakers as neighbour, coworker / classmate, and family member; 2020 equivalents K4X7_1 / K4X8_1 / K4X9_1). General 2020 = K4X7_3 / K4X8_3 / K4X9_3 ("new immigrants in last 5 years" across the same three social contexts). General 2023 = Q57_4 / Q57_5 / Q58_4 / Q58_5 / Q59_4 / Q59_5 ("other Europeans" + "non-Europeans" across the same three contexts). Scale: 1 = no social distance (would readily accept), 5 = maximal social distance.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