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937"/>
          <w:sz w:val="30"/>
        </w:rPr>
        <w:t>Year × Contact Moderation — Within-Group Regression</w:t>
      </w:r>
    </w:p>
    <w:p>
      <w:r>
        <w:rPr>
          <w:i/>
          <w:sz w:val="20"/>
        </w:rPr>
        <w:t>For each composite × ethnic group, the within-group regression is extended to include out-group contact and a Year × Contact interaction. This tests the classical Pettigrew–Tropp moderation hypothesis: does the 2020→2023 shift depend on respondents' level of contact with the other ethnic group? Out-group contact is sign-inverted (6 − raw) so higher = more frequent contact. Contact is mean-centered within each group, so B₁ (year main effect) is interpreted at average contact level.</w:t>
      </w:r>
    </w:p>
    <w:p>
      <w:pPr>
        <w:jc w:val="center"/>
      </w:pPr>
      <w:r>
        <w:rPr>
          <w:i/>
          <w:sz w:val="22"/>
        </w:rPr>
        <w:t>composite = B₀ + B₁ × Year_2023 + B₂ × Contact_centered + B₃ × (Year × Contact_c) + ε</w:t>
      </w:r>
    </w:p>
    <w:p>
      <w:r>
        <w:rPr>
          <w:i/>
          <w:sz w:val="18"/>
        </w:rPr>
        <w:t>Interpretation of B₃. A NEGATIVE B₃ on a 'higher = more negative attitude' composite (e.g., SD: Primary, Belief in Conflict) means high-contact respondents shifted LESS post-2022 — contact buffered the hardening. A POSITIVE B₃ on a 'higher = positive attitude' composite (e.g., Superordinate Identity, Minority Inclusion Support) means high-contact respondents PROTECTED the positive attitude over time. The opposite signs indicate contact AMPLIFIED rather than buffered the shift.</w:t>
      </w:r>
    </w:p>
    <w:p/>
    <w:p>
      <w:r>
        <w:rPr>
          <w:b/>
          <w:sz w:val="24"/>
        </w:rPr>
        <w:t>Table 6. Year × Contact moderation regressions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</w:tblGrid>
      <w:tr>
        <w:tc>
          <w:tcPr>
            <w:tcW w:type="dxa" w:w="1054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8"/>
              </w:rPr>
              <w:t>Group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8"/>
              </w:rPr>
              <w:t>B₁ (year)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8"/>
              </w:rPr>
              <w:t>B₂ (contact)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8"/>
              </w:rPr>
              <w:t>B₃ (year × contact)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8"/>
              </w:rPr>
              <w:t>95% CI on B₃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8"/>
              </w:rPr>
              <w:t>p (B₃)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8"/>
              </w:rPr>
              <w:t>Sig</w:t>
            </w:r>
          </w:p>
        </w:tc>
        <w:tc>
          <w:tcPr>
            <w:tcW w:type="dxa" w:w="1054"/>
          </w:tcPr>
          <w:p>
            <w:r/>
            <w:r>
              <w:rPr>
                <w:b/>
                <w:sz w:val="18"/>
              </w:rPr>
              <w:t>R²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Superordinate Identity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1560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-0.050 (0.028) ⁺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-0.075 (0.020)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+0.0647 (0.0288)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[+0.0082, +0.1213]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.025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0.012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Superordinate Identity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1117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-0.065 (0.045)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+0.122 (0.023)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+0.0686 (0.0372)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[-0.0043, +0.1415]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.065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⁺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0.060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SD: Primary Out-group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1469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+0.422 (0.049)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-0.231 (0.033)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-0.0101 (0.0481)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[-0.1044, +0.0842]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.833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0.096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SD: Primary Out-group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1061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+0.006 (0.048)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-0.208 (0.027)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+0.1266 (0.0456)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[+0.0372, +0.2160]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.006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0.053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SD: General Out-group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1528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-0.201 (0.049)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-0.140 (0.038)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+0.0357 (0.0478)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[-0.0579, +0.1293]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.455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0.031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SD: General Out-group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1092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-0.462 (0.057)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-0.151 (0.039)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+0.1031 (0.0514)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[+0.0024, +0.2038]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.045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0.091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Comparative Opportunity Assessment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1521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-0.154 (0.026)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+0.001 (0.019)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+0.0479 (0.0263)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[-0.0037, +0.0994]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.069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⁺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0.028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Comparative Opportunity Assessment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1118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-0.138 (0.034)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-0.082 (0.021)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-0.0018 (0.0306)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[-0.0619, +0.0582]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.953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0.055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Belief in Inevitable Conflict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1547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+0.064 (0.031) 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-0.077 (0.021)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-0.0005 (0.0298)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[-0.0589, +0.0579]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.987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0.020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Belief in Inevitable Conflict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1105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-0.192 (0.037) ***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+0.021 (0.021)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-0.0240 (0.0322)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[-0.0870, +0.0391]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.456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0.026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Minority Inclusion Support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1516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-0.122 (0.037) 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+0.079 (0.026) **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+0.0343 (0.0368)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[-0.0378, +0.1063]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.351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0.027</w:t>
            </w:r>
          </w:p>
        </w:tc>
      </w:tr>
      <w:tr>
        <w:tc>
          <w:tcPr>
            <w:tcW w:type="dxa" w:w="1054"/>
          </w:tcPr>
          <w:p>
            <w:r/>
            <w:r>
              <w:rPr>
                <w:sz w:val="17"/>
              </w:rPr>
              <w:t>Minority Inclusion Support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054"/>
          </w:tcPr>
          <w:p>
            <w:r/>
            <w:r>
              <w:rPr>
                <w:sz w:val="17"/>
              </w:rPr>
              <w:t>1086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+0.047 (0.037) 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-0.049 (0.021) *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+0.0116 (0.0329)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[-0.0529, +0.0761]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.724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ns</w:t>
            </w:r>
          </w:p>
        </w:tc>
        <w:tc>
          <w:tcPr>
            <w:tcW w:type="dxa" w:w="1054"/>
          </w:tcPr>
          <w:p>
            <w:pPr>
              <w:jc w:val="center"/>
            </w:pPr>
            <w:r/>
            <w:r>
              <w:rPr>
                <w:sz w:val="17"/>
              </w:rPr>
              <w:t>0.007</w:t>
            </w:r>
          </w:p>
        </w:tc>
      </w:tr>
    </w:tbl>
    <w:p/>
    <w:p>
      <w:r>
        <w:rPr>
          <w:i/>
          <w:sz w:val="16"/>
        </w:rPr>
        <w:t>Note. Out-group contact = mean of 6 contact items (Q51/Q52 or K4X1/K4X2), inverted so higher = more frequent contact. Contact is mean-centered within each group's sample. Year_2023 = 1 for 2023 respondents, 0 for 2020. HC3 robust standard errors. *** p &lt; .001, ** p &lt; .01, * p &lt; .05, ⁺ p &lt; .10, ns = not significant.</w:t>
      </w:r>
    </w:p>
    <w:p/>
    <w:p>
      <w:r>
        <w:rPr>
          <w:b/>
          <w:sz w:val="24"/>
        </w:rPr>
        <w:t>Significant moderation findings</w:t>
      </w:r>
    </w:p>
    <w:p>
      <w:r>
        <w:rPr>
          <w:i/>
          <w:sz w:val="20"/>
        </w:rPr>
        <w:t>Of the 12 regressions, 5 showed a Year × Contact interaction at p &lt; .10:</w:t>
      </w:r>
    </w:p>
    <w:p>
      <w:r>
        <w:rPr>
          <w:i w:val="0"/>
          <w:sz w:val="20"/>
        </w:rPr>
        <w:t>Superordinate Identity × Estonian: B₃ = +0.0647, 95% CI [+0.0082, +0.1213], p = .025. A positive interaction means high-contact respondents shifted less than low-contact respondents over 2020 → 2023.</w:t>
      </w:r>
    </w:p>
    <w:p>
      <w:r>
        <w:rPr>
          <w:i w:val="0"/>
          <w:sz w:val="20"/>
        </w:rPr>
        <w:t>Superordinate Identity × Russian: B₃ = +0.0686, 95% CI [-0.0043, +0.1415], p = .065. A positive interaction means high-contact respondents shifted less than low-contact respondents over 2020 → 2023.</w:t>
      </w:r>
    </w:p>
    <w:p>
      <w:r>
        <w:rPr>
          <w:i w:val="0"/>
          <w:sz w:val="20"/>
        </w:rPr>
        <w:t>SD: Primary Out-group × Russian: B₃ = +0.1266, 95% CI [+0.0372, +0.2160], p = .006. A positive interaction means high-contact respondents shifted more than low-contact respondents over 2020 → 2023.</w:t>
      </w:r>
    </w:p>
    <w:p>
      <w:r>
        <w:rPr>
          <w:i w:val="0"/>
          <w:sz w:val="20"/>
        </w:rPr>
        <w:t>SD: General Out-group × Russian: B₃ = +0.1031, 95% CI [+0.0024, +0.2038], p = .045. A positive interaction means high-contact respondents shifted less than low-contact respondents over 2020 → 2023.</w:t>
      </w:r>
    </w:p>
    <w:p>
      <w:r>
        <w:rPr>
          <w:i w:val="0"/>
          <w:sz w:val="20"/>
        </w:rPr>
        <w:t>Comparative Opportunity Assessment × Estonian: B₃ = +0.0479, 95% CI [-0.0037, +0.0994], p = .069. A positive interaction means high-contact respondents shifted less than low-contact respondents over 2020 → 2023.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