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Comparative Opportunity Assessment</w:t>
      </w:r>
    </w:p>
    <w:p>
      <w:pPr>
        <w:spacing w:after="80"/>
        <w:jc w:val="center"/>
      </w:pPr>
      <w:r>
        <w:rPr>
          <w:rFonts w:ascii="Arial" w:cs="Arial" w:eastAsia="Arial" w:hAnsi="Arial"/>
          <w:color w:val="2E5F9E"/>
          <w:sz w:val="26"/>
          <w:szCs w:val="26"/>
        </w:rPr>
        <w:t xml:space="preserve">Estonian vs Russian Respondents — EIM 2023</w:t>
      </w:r>
    </w:p>
    <w:p>
      <w:pPr>
        <w:pBdr>
          <w:bottom w:val="single" w:color="1F3864" w:sz="8" w:space="4"/>
        </w:pBdr>
        <w:spacing w:after="2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Q44 Battery Analysis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Variable: </w:t>
      </w:r>
      <w:r>
        <w:rPr>
          <w:rFonts w:ascii="Arial" w:cs="Arial" w:eastAsia="Arial" w:hAnsi="Arial"/>
          <w:sz w:val="22"/>
          <w:szCs w:val="22"/>
        </w:rPr>
        <w:t xml:space="preserve">Comparative Opportunity Assessment (Q44)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Items: </w:t>
      </w:r>
      <w:r>
        <w:rPr>
          <w:rFonts w:ascii="Arial" w:cs="Arial" w:eastAsia="Arial" w:hAnsi="Arial"/>
          <w:sz w:val="22"/>
          <w:szCs w:val="22"/>
        </w:rPr>
        <w:t xml:space="preserve">Q44_1 through Q44_12 (12 domains), averaged to form composite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Scale: </w:t>
      </w:r>
      <w:r>
        <w:rPr>
          <w:rFonts w:ascii="Arial" w:cs="Arial" w:eastAsia="Arial" w:hAnsi="Arial"/>
          <w:sz w:val="22"/>
          <w:szCs w:val="22"/>
        </w:rPr>
        <w:t xml:space="preserve">1 = Very good → 4 = Very bad (lower score = situation perceived as more favorable for Estonians)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wording: </w:t>
      </w:r>
      <w:r>
        <w:rPr>
          <w:rFonts w:ascii="Arial" w:cs="Arial" w:eastAsia="Arial" w:hAnsi="Arial"/>
          <w:sz w:val="22"/>
          <w:szCs w:val="22"/>
        </w:rPr>
        <w:t xml:space="preserve">"How would you rate the opportunities and situation of Estonians and people of other nationalities living in Estonia in the following areas?"</w:t>
      </w:r>
    </w:p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Estonian and Russian respondents are rating the same objective situation — the relative opportunity landscape for Estonians vs other nationalities in Estonia. A lower score means the respondent perceives the situation as more favorable for Estonians; a higher score means they see fewer advantages for Estonians relative to other groups.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Overall Composite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 (SD)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Cohen’s 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Estonian respondents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2.71 (0.52)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+0.74***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Russian respondents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2.32 (0.53)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Russians rate the opportunity situation as significantly more favorable for Estonians than Estonians rate it themselves — a large effect (d = +0.74, p &lt; .0001, Welch t-test and Mann-Whitney U both significant).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Item-by-Item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Ranked by magnitude of perceived Estonian advantage (largest gap first). Positive d = Estonians perceived as having better opportunities by Russian respondents relative to Estonian respondents’ own assessment.</w:t>
      </w:r>
    </w:p>
    <w:p>
      <w:r>
        <w:rPr>
          <w:sz w:val="20"/>
          <w:szCs w:val="20"/>
        </w:rP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500"/>
        <w:gridCol w:w="900"/>
        <w:gridCol w:w="76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 M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 (SD)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 M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 (SD)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well-being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(0.92)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(0.85)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+0.90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Social/political participation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(0.85)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(0.79)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+0.88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Career/jobs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(0.80)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(0.84)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+0.70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(0.86)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(0.88)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+0.60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benefits/services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(0.77)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(0.82)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+0.54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Children/youth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(0.63)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(0.81)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+0.50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Entrepreneurship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(0.66)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(0.80)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+0.48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Cultural participation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(0.80)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(0.89)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+0.41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Leisure/holidays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(0.48)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(0.60)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+0.32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Sports/exercise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(0.37)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(0.40)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+0.20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 care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(0.65)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(0.57)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+0.14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(0.77)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(0.58)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-0.05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Sig: *** p &lt; .001, ** p &lt; .01, * p &lt; .05, ns = not significant</w:t>
      </w:r>
    </w:p>
    <w:p>
      <w:r>
        <w:rPr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Interpretation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4.1 The Core Finding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Russian-speakers perceive a clear Estonian structural advantage across nearly every life domain. Their scores are consistently lower (more positive for Estonians) indicating they see Estonian-speakers as having meaningfully better opportunities in material well-being, social/political life, careers, education, and access to state services. Estonians, rating the same situation, are considerably more skeptical of their own group’s advantages — perceiving things as more middling rather than clearly favorable.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4.2 Where the Gaps Are Largest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 well-being (d = +0.90) and Social/political participation (d = +0.88): </w:t>
      </w:r>
      <w:r>
        <w:rPr>
          <w:rFonts w:ascii="Arial" w:cs="Arial" w:eastAsia="Arial" w:hAnsi="Arial"/>
          <w:sz w:val="22"/>
          <w:szCs w:val="22"/>
        </w:rPr>
        <w:t xml:space="preserve">The two largest gaps are in domains most directly tied to language, citizenship status, and access to political power. Russian-speakers, who face formal and informal barriers in these areas (language requirements for civil service, historical citizenship restrictions, political underrepresentation), perceive Estonian dominance most acutely here.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Career/jobs (d = +0.70) and Education (d = +0.60): </w:t>
      </w:r>
      <w:r>
        <w:rPr>
          <w:rFonts w:ascii="Arial" w:cs="Arial" w:eastAsia="Arial" w:hAnsi="Arial"/>
          <w:sz w:val="22"/>
          <w:szCs w:val="22"/>
        </w:rPr>
        <w:t xml:space="preserve">Both domains where language policy creates tangible structural advantages for Estonian-speakers, confirming that perceived gaps track real institutional inequalities.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4.3 The Exception — Housing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Housing is the only domain with no significant difference (d = −0.05, ns). Both groups rate it similarly (~2.74–2.77). The housing market is least shaped by ethnicity or language policy, supporting the interpretation that gaps elsewhere genuinely reflect perceived ethnic structural advantage rather than general pessimism about Estonian society.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4.4 Why Estonians Rate Their Own Situation Less Favorably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Estonians’ higher scores (more critical self-assessment) likely reflect a combination of: (1) higher baseline expectations as the majority group — comparing against an ideal rather than against minority conditions; (2) genuine dissatisfaction with aspects of Estonian society; and (3) less salient awareness of relative advantage, since privilege is typically less visible to those who hold 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4.5 Implications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finding that Russian-speakers perceive Estonians as holding substantial structural advantages — especially in political participation, material well-being, and careers — has direct implications for integration research. Perceptions of ethnic inequality are a well-documented driver of inter-group tension and reduced superordinate identity. Cross-referencing this composite with the Social Distance and Belief in Inevitable Conflict variables would test whether perceived opportunity inequality predicts more negative inter-group attitudes.</w:t>
      </w:r>
    </w:p>
    <w:p>
      <w:r>
        <w:rPr>
          <w:sz w:val="20"/>
          <w:szCs w:val="20"/>
        </w:rPr>
        <w:t xml:space="preserve"/>
      </w:r>
    </w:p>
    <w:p>
      <w:pPr>
        <w:pBdr>
          <w:left w:val="single" w:color="4472C4" w:sz="12" w:space="8"/>
        </w:pBdr>
        <w:spacing w:after="100"/>
        <w:ind w:left="3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Note on cross-year comparisons: </w:t>
      </w:r>
    </w:p>
    <w:p>
      <w:pPr>
        <w:pBdr>
          <w:left w:val="single" w:color="4472C4" w:sz="12" w:space="8"/>
        </w:pBdr>
        <w:spacing w:after="20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groups showed a significant increase in perceived Estonian advantage from 2020 to 2023 (Estonians: d = +0.30***, Russians: d = +0.34***). The gap between the two groups’ assessments narrowed slightly (d = +0.79 in 2020 vs +0.74 in 2023), but remained large and significant in both years.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1F3864"/>
        <w:sz w:val="18"/>
        <w:szCs w:val="18"/>
      </w:rPr>
      <w:t xml:space="preserve">EIM2 — Comparative Opportunity Assessment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F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2026-03-28T14:45:04.256Z</dcterms:created>
  <dcterms:modified xsi:type="dcterms:W3CDTF">2026-03-28T14:45:04.258Z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