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38"/>
        <w:gridCol w:w="7427"/>
      </w:tblGrid>
      <w:tr>
        <w:tc>
          <w:tcPr>
            <w:tcW w:type="dxa" w:w="2438"/>
            <w:shd w:val="clear" w:color="auto" w:fill="1A2A4A"/>
            <w:tcBorders>
              <w:top w:val="single" w:sz="28" w:space="0" w:color="F4C220"/>
              <w:left w:val="nil"/>
              <w:bottom w:val="nil"/>
              <w:right w:val="nil"/>
            </w:tcBorders>
            <w:tcMar>
              <w:top w:w="120" w:type="dxa"/>
              <w:left w:w="130" w:type="dxa"/>
              <w:bottom w:w="120" w:type="dxa"/>
              <w:right w:w="70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260000" cy="357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u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5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  <w:shd w:val="clear" w:color="auto" w:fill="1A2A4A"/>
            <w:tcBorders>
              <w:top w:val="single" w:sz="28" w:space="0" w:color="F4C220"/>
              <w:left w:val="nil"/>
              <w:bottom w:val="nil"/>
              <w:right w:val="nil"/>
            </w:tcBorders>
            <w:tcMar>
              <w:top w:w="120" w:type="dxa"/>
              <w:left w:w="70" w:type="dxa"/>
              <w:bottom w:w="120" w:type="dxa"/>
              <w:right w:w="150" w:type="dxa"/>
            </w:tcMar>
          </w:tcPr>
          <w:p>
            <w:pPr>
              <w:spacing w:before="0" w:after="40"/>
            </w:pPr>
            <w:r>
              <w:rPr>
                <w:rFonts w:ascii="Calibri" w:hAnsi="Calibri" w:cs="Calibri"/>
                <w:b/>
                <w:i w:val="0"/>
                <w:color w:val="F4C220"/>
                <w:sz w:val="15"/>
                <w:spacing w:val="22"/>
              </w:rPr>
              <w:t>COM32 · PROGRAMACIÓN EN BASE DE DATOS · 2026-III</w:t>
            </w:r>
          </w:p>
          <w:p>
            <w:pPr>
              <w:spacing w:before="0" w:after="40"/>
            </w:pPr>
            <w:r>
              <w:rPr>
                <w:rFonts w:ascii="Calibri" w:hAnsi="Calibri" w:cs="Calibri"/>
                <w:b/>
                <w:i w:val="0"/>
                <w:color w:val="FFFFFF"/>
                <w:sz w:val="30"/>
              </w:rPr>
              <w:t xml:space="preserve">Proyecto · Entrega 1 · </w:t>
            </w:r>
            <w:r>
              <w:rPr>
                <w:rFonts w:ascii="Calibri" w:hAnsi="Calibri" w:cs="Calibri"/>
                <w:b/>
                <w:i/>
                <w:color w:val="F4C220"/>
                <w:sz w:val="30"/>
              </w:rPr>
              <w:t>Formulación del proyecto, esquema y datos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C3CAD8"/>
                <w:sz w:val="16"/>
              </w:rPr>
              <w:t>RA1 · Corte 1 · 15 % del corte · Docente: Kevin Erney De Alba Pomárico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  <w:tcBorders>
              <w:top w:val="nil"/>
              <w:left w:val="nil"/>
              <w:bottom w:val="nil"/>
              <w:right w:val="single" w:sz="5" w:space="0" w:color="1A2A4A"/>
            </w:tcBorders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aps/>
                <w:color w:val="F4C220"/>
                <w:sz w:val="13"/>
                <w:spacing w:val="18"/>
              </w:rPr>
              <w:t>Modalidad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Grupo de 1 a 3</w:t>
            </w:r>
          </w:p>
        </w:tc>
        <w:tc>
          <w:tcPr>
            <w:tcW w:type="dxa" w:w="2466"/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  <w:tcBorders>
              <w:top w:val="nil"/>
              <w:left w:val="nil"/>
              <w:bottom w:val="nil"/>
              <w:right w:val="single" w:sz="5" w:space="0" w:color="1A2A4A"/>
            </w:tcBorders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aps/>
                <w:color w:val="F4C220"/>
                <w:sz w:val="13"/>
                <w:spacing w:val="18"/>
              </w:rPr>
              <w:t>Calificación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Escala 1.0 – 5.0</w:t>
            </w:r>
          </w:p>
        </w:tc>
        <w:tc>
          <w:tcPr>
            <w:tcW w:type="dxa" w:w="2466"/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  <w:tcBorders>
              <w:top w:val="nil"/>
              <w:left w:val="nil"/>
              <w:bottom w:val="nil"/>
              <w:right w:val="single" w:sz="5" w:space="0" w:color="1A2A4A"/>
            </w:tcBorders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aps/>
                <w:color w:val="F4C220"/>
                <w:sz w:val="13"/>
                <w:spacing w:val="18"/>
              </w:rPr>
              <w:t>Criterios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RA1 · CE1 · CE2 · CE3</w:t>
            </w:r>
          </w:p>
        </w:tc>
        <w:tc>
          <w:tcPr>
            <w:tcW w:type="dxa" w:w="2466"/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aps/>
                <w:color w:val="F4C220"/>
                <w:sz w:val="13"/>
                <w:spacing w:val="18"/>
              </w:rPr>
              <w:t>Cierre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Vie 23 oct · 23:59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EDF1FA"/>
            <w:tcBorders>
              <w:top w:val="nil"/>
              <w:left w:val="single" w:sz="20" w:space="0" w:color="1A4DAA"/>
              <w:bottom w:val="nil"/>
              <w:right w:val="nil"/>
            </w:tcBorders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cs="Calibri"/>
                <w:b/>
                <w:i w:val="0"/>
                <w:sz w:val="17"/>
              </w:rPr>
              <w:t xml:space="preserve">Registro del grupo. </w:t>
            </w:r>
            <w:r>
              <w:rPr>
                <w:rFonts w:ascii="Calibri" w:hAnsi="Calibri" w:cs="Calibri"/>
                <w:b w:val="0"/>
                <w:i w:val="0"/>
                <w:sz w:val="17"/>
              </w:rPr>
              <w:t xml:space="preserve">El número de grupo, los integrantes con su documento, el negocio en una frase y el nombre y la dirección del espacio de trabajo en APEX se diligencian en la primera página de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  <w:shd w:val="clear" w:fill="EDEFF5"/>
              </w:rPr>
              <w:t>COM32_proyecto_documento_plantilla.docx</w:t>
            </w:r>
            <w:r>
              <w:rPr>
                <w:rFonts w:ascii="Calibri" w:hAnsi="Calibri" w:cs="Calibri"/>
                <w:b w:val="0"/>
                <w:i w:val="0"/>
                <w:sz w:val="17"/>
              </w:rPr>
              <w:t xml:space="preserve"> y viajan dentro de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  <w:shd w:val="clear" w:fill="EDEFF5"/>
              </w:rPr>
              <w:t>informe_entrega1.pdf</w:t>
            </w:r>
            <w:r>
              <w:rPr>
                <w:rFonts w:ascii="Calibri" w:hAnsi="Calibri" w:cs="Calibri"/>
                <w:b w:val="0"/>
                <w:i w:val="0"/>
                <w:sz w:val="17"/>
              </w:rPr>
              <w:t>. Este enunciado no se devuelve.</w:t>
            </w:r>
          </w:p>
        </w:tc>
      </w:tr>
    </w:tbl>
    <w:p>
      <w:pPr>
        <w:spacing w:before="0" w:after="0"/>
      </w:pPr>
      <w:r>
        <w:rPr>
          <w:sz w:val="4"/>
        </w:rPr>
      </w:r>
    </w:p>
    <w:p>
      <w:pPr>
        <w:spacing w:before="140" w:after="40"/>
        <w:pBdr>
          <w:bottom w:val="single" w:sz="10" w:space="2" w:color="F4C220"/>
        </w:pBdr>
      </w:pPr>
      <w:r>
        <w:rPr>
          <w:rFonts w:ascii="Calibri" w:hAnsi="Calibri" w:cs="Calibri"/>
          <w:b/>
          <w:i w:val="0"/>
          <w:color w:val="1A2A4A"/>
          <w:sz w:val="23"/>
        </w:rPr>
        <w:t>Propósito y condiciones</w:t>
      </w:r>
    </w:p>
    <w:p>
      <w:pPr>
        <w:spacing w:before="0" w:after="60" w:line="259" w:lineRule="auto"/>
      </w:pPr>
      <w:r>
        <w:rPr>
          <w:rFonts w:ascii="Calibri" w:hAnsi="Calibri" w:cs="Calibri"/>
          <w:b w:val="0"/>
          <w:i w:val="0"/>
          <w:sz w:val="19"/>
        </w:rPr>
        <w:t xml:space="preserve">La Entrega 1 evalúa el RA1 aplicado al negocio del grupo en dos partes. La </w:t>
      </w:r>
      <w:r>
        <w:rPr>
          <w:rFonts w:ascii="Calibri" w:hAnsi="Calibri" w:cs="Calibri"/>
          <w:b/>
          <w:i w:val="0"/>
          <w:sz w:val="19"/>
        </w:rPr>
        <w:t>Parte A</w:t>
      </w:r>
      <w:r>
        <w:rPr>
          <w:rFonts w:ascii="Calibri" w:hAnsi="Calibri" w:cs="Calibri"/>
          <w:b w:val="0"/>
          <w:i w:val="0"/>
          <w:sz w:val="19"/>
        </w:rPr>
        <w:t xml:space="preserve"> (2.75 de 5.0) es el documento de formulación: problema y justificación, objetivos, modelo de datos y catálogo de reglas. La </w:t>
      </w:r>
      <w:r>
        <w:rPr>
          <w:rFonts w:ascii="Calibri" w:hAnsi="Calibri" w:cs="Calibri"/>
          <w:b/>
          <w:i w:val="0"/>
          <w:sz w:val="19"/>
        </w:rPr>
        <w:t>Parte B</w:t>
      </w:r>
      <w:r>
        <w:rPr>
          <w:rFonts w:ascii="Calibri" w:hAnsi="Calibri" w:cs="Calibri"/>
          <w:b w:val="0"/>
          <w:i w:val="0"/>
          <w:sz w:val="19"/>
        </w:rPr>
        <w:t xml:space="preserve"> (2.25 de 5.0) es el esquema poblado en Oracle APEX y dos bloques de validación. Vale el </w:t>
      </w:r>
      <w:r>
        <w:rPr>
          <w:rFonts w:ascii="Calibri" w:hAnsi="Calibri" w:cs="Calibri"/>
          <w:b/>
          <w:i w:val="0"/>
          <w:sz w:val="19"/>
        </w:rPr>
        <w:t>15 % de la nota del Corte 1</w:t>
      </w:r>
      <w:r>
        <w:rPr>
          <w:rFonts w:ascii="Calibri" w:hAnsi="Calibri" w:cs="Calibri"/>
          <w:b w:val="0"/>
          <w:i w:val="0"/>
          <w:sz w:val="19"/>
        </w:rPr>
        <w:t xml:space="preserve"> y se califica igual para todos los integrantes, salvo lo indicado en la condición 4.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"/>
        <w:gridCol w:w="9354"/>
      </w:tblGrid>
      <w:tr>
        <w:tc>
          <w:tcPr>
            <w:tcW w:type="dxa" w:w="510"/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</w:r>
          </w:p>
        </w:tc>
        <w:tc>
          <w:tcPr>
            <w:tcW w:type="dxa" w:w="9354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Condición</w:t>
            </w:r>
          </w:p>
        </w:tc>
      </w:tr>
      <w:tr>
        <w:tc>
          <w:tcPr>
            <w:tcW w:type="dxa" w:w="51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1</w:t>
            </w:r>
          </w:p>
        </w:tc>
        <w:tc>
          <w:tcPr>
            <w:tcW w:type="dxa" w:w="935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El documento se elabora en COM32_proyecto_documento_plantilla.docx; los scripts siguen la plantilla COM32_proyecto_plantilla.zip y las convenciones de COM32_ProyectoIntegrador_lineamientos.pdf. El grupo puede ser individual, de dos o de tres integrantes.</w:t>
            </w:r>
          </w:p>
        </w:tc>
      </w:tr>
      <w:tr>
        <w:tc>
          <w:tcPr>
            <w:tcW w:type="dxa" w:w="510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2</w:t>
            </w:r>
          </w:p>
        </w:tc>
        <w:tc>
          <w:tcPr>
            <w:tcW w:type="dxa" w:w="935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Los scripts se califican ejecutando 00, 01, 02 y 03, en ese orden, en un esquema APEX limpio. Un error de ejecución en 01 o 02 deja sin calificar los bloques de 03 que dependen de esa tabla.</w:t>
            </w:r>
          </w:p>
        </w:tc>
      </w:tr>
      <w:tr>
        <w:tc>
          <w:tcPr>
            <w:tcW w:type="dxa" w:w="51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3</w:t>
            </w:r>
          </w:p>
        </w:tc>
        <w:tc>
          <w:tcPr>
            <w:tcW w:type="dxa" w:w="935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Esta entrega no exige IF, CASE ni ciclos: esos temas se estudian con la guía de la S05 y se aplican en la Entrega 2. Los dos bloques de 03 usan variables con %TYPE, una constante, SELECT INTO y, si el grupo lo desea, una sentencia DML con SQL%ROWCOUNT.</w:t>
            </w:r>
          </w:p>
        </w:tc>
      </w:tr>
      <w:tr>
        <w:tc>
          <w:tcPr>
            <w:tcW w:type="dxa" w:w="510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4</w:t>
            </w:r>
          </w:p>
        </w:tc>
        <w:tc>
          <w:tcPr>
            <w:tcW w:type="dxa" w:w="935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El documento indica qué reglas programó cada integrante. Quien no figura en ninguna se califica de forma individual.</w:t>
            </w:r>
          </w:p>
        </w:tc>
      </w:tr>
      <w:tr>
        <w:tc>
          <w:tcPr>
            <w:tcW w:type="dxa" w:w="51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5</w:t>
            </w:r>
          </w:p>
        </w:tc>
        <w:tc>
          <w:tcPr>
            <w:tcW w:type="dxa" w:w="935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Las fuentes se citan en la sección 13 del documento. Un texto copiado sin citar la fuente se descuenta.</w:t>
            </w:r>
          </w:p>
        </w:tc>
      </w:tr>
    </w:tbl>
    <w:p>
      <w:pPr>
        <w:spacing w:before="0" w:after="0"/>
      </w:pPr>
      <w:r>
        <w:rPr>
          <w:sz w:val="4"/>
        </w:rPr>
      </w:r>
    </w:p>
    <w:p>
      <w:pPr>
        <w:spacing w:before="140" w:after="40"/>
        <w:pBdr>
          <w:bottom w:val="single" w:sz="10" w:space="2" w:color="F4C220"/>
        </w:pBdr>
      </w:pPr>
      <w:r>
        <w:rPr>
          <w:rFonts w:ascii="Calibri" w:hAnsi="Calibri" w:cs="Calibri"/>
          <w:b/>
          <w:i w:val="0"/>
          <w:color w:val="1A2A4A"/>
          <w:sz w:val="23"/>
        </w:rPr>
        <w:t>Requerimiento</w:t>
      </w:r>
      <w:r>
        <w:rPr>
          <w:rFonts w:ascii="Calibri" w:hAnsi="Calibri" w:cs="Calibri"/>
          <w:b w:val="0"/>
          <w:i w:val="0"/>
          <w:color w:val="595959"/>
          <w:sz w:val="17"/>
        </w:rPr>
        <w:t xml:space="preserve">   Los pesos suman 5.0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24"/>
        <w:gridCol w:w="7370"/>
        <w:gridCol w:w="680"/>
        <w:gridCol w:w="1191"/>
      </w:tblGrid>
      <w:tr>
        <w:tc>
          <w:tcPr>
            <w:tcW w:type="dxa" w:w="624"/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Req.</w:t>
            </w:r>
          </w:p>
        </w:tc>
        <w:tc>
          <w:tcPr>
            <w:tcW w:type="dxa" w:w="7370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Criterio de aceptación</w:t>
            </w:r>
          </w:p>
        </w:tc>
        <w:tc>
          <w:tcPr>
            <w:tcW w:type="dxa" w:w="680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CE</w:t>
            </w:r>
          </w:p>
        </w:tc>
        <w:tc>
          <w:tcPr>
            <w:tcW w:type="dxa" w:w="1191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Peso</w:t>
            </w:r>
          </w:p>
        </w:tc>
      </w:tr>
      <w:tr>
        <w:tc>
          <w:tcPr>
            <w:tcW w:type="dxa" w:w="62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D1</w:t>
            </w:r>
          </w:p>
        </w:tc>
        <w:tc>
          <w:tcPr>
            <w:tcW w:type="dxa" w:w="737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Problema y justificación del negocio (secciones 1.1 a 1.3): descripción de un negocio real, qué falla hoy en el registro de la información y por qué se resuelve en la base de datos, con al menos una fuente real citada.</w:t>
            </w:r>
          </w:p>
        </w:tc>
        <w:tc>
          <w:tcPr>
            <w:tcW w:type="dxa" w:w="68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CE1</w:t>
            </w:r>
          </w:p>
        </w:tc>
        <w:tc>
          <w:tcPr>
            <w:tcW w:type="dxa" w:w="119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0.8</w:t>
            </w:r>
          </w:p>
        </w:tc>
      </w:tr>
      <w:tr>
        <w:tc>
          <w:tcPr>
            <w:tcW w:type="dxa" w:w="62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D2</w:t>
            </w:r>
          </w:p>
        </w:tc>
        <w:tc>
          <w:tcPr>
            <w:tcW w:type="dxa" w:w="7370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Objetivo general y tres específicos medibles, con verbo evaluable y la entrega en que se cumple (sección 1.4).</w:t>
            </w:r>
          </w:p>
        </w:tc>
        <w:tc>
          <w:tcPr>
            <w:tcW w:type="dxa" w:w="680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CE2</w:t>
            </w:r>
          </w:p>
        </w:tc>
        <w:tc>
          <w:tcPr>
            <w:tcW w:type="dxa" w:w="119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0.5</w:t>
            </w:r>
          </w:p>
        </w:tc>
      </w:tr>
      <w:tr>
        <w:tc>
          <w:tcPr>
            <w:tcW w:type="dxa" w:w="62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D3</w:t>
            </w:r>
          </w:p>
        </w:tc>
        <w:tc>
          <w:tcPr>
            <w:tcW w:type="dxa" w:w="737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Modelo de datos (sección 2): diagrama con cuatro tablas o más, relación 1:N, relación N:M con tabla intermedia y entidad débil con PK compuesta; diccionario de datos coherente con 01_esquema.sql; normalización justificada.</w:t>
            </w:r>
          </w:p>
        </w:tc>
        <w:tc>
          <w:tcPr>
            <w:tcW w:type="dxa" w:w="68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CE1</w:t>
            </w:r>
          </w:p>
        </w:tc>
        <w:tc>
          <w:tcPr>
            <w:tcW w:type="dxa" w:w="119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0.9</w:t>
            </w:r>
          </w:p>
        </w:tc>
      </w:tr>
      <w:tr>
        <w:tc>
          <w:tcPr>
            <w:tcW w:type="dxa" w:w="62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D4</w:t>
            </w:r>
          </w:p>
        </w:tc>
        <w:tc>
          <w:tcPr>
            <w:tcW w:type="dxa" w:w="7370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Catálogo de cinco reglas de negocio o más (sección 3) con su enunciado, tablas y dónde se implementará, y reparto por integrante (sección 12).</w:t>
            </w:r>
          </w:p>
        </w:tc>
        <w:tc>
          <w:tcPr>
            <w:tcW w:type="dxa" w:w="680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CE2</w:t>
            </w:r>
          </w:p>
        </w:tc>
        <w:tc>
          <w:tcPr>
            <w:tcW w:type="dxa" w:w="119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0.55</w:t>
            </w:r>
          </w:p>
        </w:tc>
      </w:tr>
      <w:tr>
        <w:tc>
          <w:tcPr>
            <w:tcW w:type="dxa" w:w="62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B1</w:t>
            </w:r>
          </w:p>
        </w:tc>
        <w:tc>
          <w:tcPr>
            <w:tcW w:type="dxa" w:w="737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00_limpiar.sql, 01_esquema.sql y 02_datos.sql corren completos sin errores en un esquema limpio. PK, FK, NOT NULL, UNIQUE, CHECK y DEFAULT con nombre y donde el negocio los exige; 15 filas o más por tabla, con datos verosímiles y casos límite.</w:t>
            </w:r>
          </w:p>
        </w:tc>
        <w:tc>
          <w:tcPr>
            <w:tcW w:type="dxa" w:w="68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CE3</w:t>
            </w:r>
          </w:p>
        </w:tc>
        <w:tc>
          <w:tcPr>
            <w:tcW w:type="dxa" w:w="119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1.0</w:t>
            </w:r>
          </w:p>
        </w:tc>
      </w:tr>
      <w:tr>
        <w:tc>
          <w:tcPr>
            <w:tcW w:type="dxa" w:w="62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B2</w:t>
            </w:r>
          </w:p>
        </w:tc>
        <w:tc>
          <w:tcPr>
            <w:tcW w:type="dxa" w:w="7370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03_validaciones.sql con dos bloques o más, uno por regla, que corren y muestran exactamente el resultado esperado declarado en su comentario. Variables con %TYPE, una constante y SELECT INTO. Encabezado de la plantilla, nomenclatura v_ y c_ y comentario de regla, tablas y resultado.</w:t>
            </w:r>
          </w:p>
        </w:tc>
        <w:tc>
          <w:tcPr>
            <w:tcW w:type="dxa" w:w="680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CE3</w:t>
            </w:r>
          </w:p>
        </w:tc>
        <w:tc>
          <w:tcPr>
            <w:tcW w:type="dxa" w:w="119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0.9</w:t>
            </w:r>
          </w:p>
        </w:tc>
      </w:tr>
      <w:tr>
        <w:tc>
          <w:tcPr>
            <w:tcW w:type="dxa" w:w="62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B3</w:t>
            </w:r>
          </w:p>
        </w:tc>
        <w:tc>
          <w:tcPr>
            <w:tcW w:type="dxa" w:w="737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Registro del grupo diligenciado, nombre y contenido del archivo comprimido pedidos y entrega a tiempo.</w:t>
            </w:r>
          </w:p>
        </w:tc>
        <w:tc>
          <w:tcPr>
            <w:tcW w:type="dxa" w:w="68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–</w:t>
            </w:r>
          </w:p>
        </w:tc>
        <w:tc>
          <w:tcPr>
            <w:tcW w:type="dxa" w:w="119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0.35</w:t>
            </w:r>
          </w:p>
        </w:tc>
      </w:tr>
    </w:tbl>
    <w:p>
      <w:pPr>
        <w:spacing w:before="0" w:after="0"/>
      </w:pPr>
      <w:r>
        <w:rPr>
          <w:sz w:val="4"/>
        </w:rPr>
      </w:r>
    </w:p>
    <w:p>
      <w:pPr>
        <w:spacing w:before="140" w:after="40"/>
        <w:pBdr>
          <w:bottom w:val="single" w:sz="10" w:space="2" w:color="F4C220"/>
        </w:pBdr>
      </w:pPr>
      <w:r>
        <w:rPr>
          <w:rFonts w:ascii="Calibri" w:hAnsi="Calibri" w:cs="Calibri"/>
          <w:b/>
          <w:i w:val="0"/>
          <w:color w:val="1A2A4A"/>
          <w:sz w:val="23"/>
        </w:rPr>
        <w:t>Rúbrica de evaluación</w:t>
      </w:r>
      <w:r>
        <w:rPr>
          <w:rFonts w:ascii="Calibri" w:hAnsi="Calibri" w:cs="Calibri"/>
          <w:b w:val="0"/>
          <w:i w:val="0"/>
          <w:color w:val="595959"/>
          <w:sz w:val="17"/>
        </w:rPr>
        <w:t xml:space="preserve">   Los pesos suman 5.0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61"/>
        <w:gridCol w:w="7030"/>
        <w:gridCol w:w="1474"/>
      </w:tblGrid>
      <w:tr>
        <w:tc>
          <w:tcPr>
            <w:tcW w:type="dxa" w:w="1361"/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Criterio</w:t>
            </w:r>
          </w:p>
        </w:tc>
        <w:tc>
          <w:tcPr>
            <w:tcW w:type="dxa" w:w="7030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Desempeño esperado</w:t>
            </w:r>
          </w:p>
        </w:tc>
        <w:tc>
          <w:tcPr>
            <w:tcW w:type="dxa" w:w="1474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Peso</w:t>
            </w:r>
          </w:p>
        </w:tc>
      </w:tr>
      <w:tr>
        <w:tc>
          <w:tcPr>
            <w:tcW w:type="dxa" w:w="136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D1 · CE1</w:t>
            </w:r>
          </w:p>
        </w:tc>
        <w:tc>
          <w:tcPr>
            <w:tcW w:type="dxa" w:w="703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Negocio real descrito, problema y justificación con fuente citada</w:t>
            </w:r>
          </w:p>
        </w:tc>
        <w:tc>
          <w:tcPr>
            <w:tcW w:type="dxa" w:w="147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0.8</w:t>
            </w:r>
          </w:p>
        </w:tc>
      </w:tr>
      <w:tr>
        <w:tc>
          <w:tcPr>
            <w:tcW w:type="dxa" w:w="136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D2 · CE2</w:t>
            </w:r>
          </w:p>
        </w:tc>
        <w:tc>
          <w:tcPr>
            <w:tcW w:type="dxa" w:w="7030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Objetivos medibles, con verbo evaluable y entrega asignada</w:t>
            </w:r>
          </w:p>
        </w:tc>
        <w:tc>
          <w:tcPr>
            <w:tcW w:type="dxa" w:w="147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0.5</w:t>
            </w:r>
          </w:p>
        </w:tc>
      </w:tr>
      <w:tr>
        <w:tc>
          <w:tcPr>
            <w:tcW w:type="dxa" w:w="136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D3 · CE1</w:t>
            </w:r>
          </w:p>
        </w:tc>
        <w:tc>
          <w:tcPr>
            <w:tcW w:type="dxa" w:w="703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Modelo con 1:N, N:M y entidad débil; diccionario coherente con el script</w:t>
            </w:r>
          </w:p>
        </w:tc>
        <w:tc>
          <w:tcPr>
            <w:tcW w:type="dxa" w:w="147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0.9</w:t>
            </w:r>
          </w:p>
        </w:tc>
      </w:tr>
      <w:tr>
        <w:tc>
          <w:tcPr>
            <w:tcW w:type="dxa" w:w="136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D4 · CE2</w:t>
            </w:r>
          </w:p>
        </w:tc>
        <w:tc>
          <w:tcPr>
            <w:tcW w:type="dxa" w:w="7030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Cinco reglas catalogadas y reparto por integrante</w:t>
            </w:r>
          </w:p>
        </w:tc>
        <w:tc>
          <w:tcPr>
            <w:tcW w:type="dxa" w:w="147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0.55</w:t>
            </w:r>
          </w:p>
        </w:tc>
      </w:tr>
      <w:tr>
        <w:tc>
          <w:tcPr>
            <w:tcW w:type="dxa" w:w="136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B1 · CE3</w:t>
            </w:r>
          </w:p>
        </w:tc>
        <w:tc>
          <w:tcPr>
            <w:tcW w:type="dxa" w:w="703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Esquema y datos ejecutan en limpio, con restricciones y casos límite</w:t>
            </w:r>
          </w:p>
        </w:tc>
        <w:tc>
          <w:tcPr>
            <w:tcW w:type="dxa" w:w="147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1.0</w:t>
            </w:r>
          </w:p>
        </w:tc>
      </w:tr>
      <w:tr>
        <w:tc>
          <w:tcPr>
            <w:tcW w:type="dxa" w:w="136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B2 · CE3</w:t>
            </w:r>
          </w:p>
        </w:tc>
        <w:tc>
          <w:tcPr>
            <w:tcW w:type="dxa" w:w="7030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Dos bloques que corren con el resultado declarado y las técnicas pedidas</w:t>
            </w:r>
          </w:p>
        </w:tc>
        <w:tc>
          <w:tcPr>
            <w:tcW w:type="dxa" w:w="147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0.9</w:t>
            </w:r>
          </w:p>
        </w:tc>
      </w:tr>
      <w:tr>
        <w:tc>
          <w:tcPr>
            <w:tcW w:type="dxa" w:w="136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B3</w:t>
            </w:r>
          </w:p>
        </w:tc>
        <w:tc>
          <w:tcPr>
            <w:tcW w:type="dxa" w:w="703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Registro, nombre y contenido del archivo, puntualidad</w:t>
            </w:r>
          </w:p>
        </w:tc>
        <w:tc>
          <w:tcPr>
            <w:tcW w:type="dxa" w:w="147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0.35</w:t>
            </w:r>
          </w:p>
        </w:tc>
      </w:tr>
      <w:tr>
        <w:tc>
          <w:tcPr>
            <w:tcW w:type="dxa" w:w="1361"/>
            <w:shd w:val="clear" w:color="auto" w:fill="FFF6D6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</w:r>
          </w:p>
        </w:tc>
        <w:tc>
          <w:tcPr>
            <w:tcW w:type="dxa" w:w="7030"/>
            <w:shd w:val="clear" w:color="auto" w:fill="FFF6D6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595959"/>
                <w:sz w:val="16"/>
              </w:rPr>
              <w:t>TOTAL</w:t>
            </w:r>
          </w:p>
        </w:tc>
        <w:tc>
          <w:tcPr>
            <w:tcW w:type="dxa" w:w="1474"/>
            <w:shd w:val="clear" w:color="auto" w:fill="FFF6D6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595959"/>
                <w:sz w:val="16"/>
              </w:rPr>
              <w:t>5.0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BEAEA"/>
            <w:tcBorders>
              <w:top w:val="nil"/>
              <w:left w:val="single" w:sz="20" w:space="0" w:color="C44545"/>
              <w:bottom w:val="nil"/>
              <w:right w:val="nil"/>
            </w:tcBorders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spacing w:before="0" w:after="0" w:line="254" w:lineRule="auto"/>
            </w:pPr>
            <w:r>
              <w:rPr>
                <w:rFonts w:ascii="Calibri" w:hAnsi="Calibri" w:cs="Calibri"/>
                <w:b/>
                <w:i w:val="0"/>
                <w:sz w:val="17"/>
              </w:rPr>
              <w:t xml:space="preserve">Descuento de 0.3 por ocurrencia </w:t>
            </w:r>
            <w:r>
              <w:rPr>
                <w:rFonts w:ascii="Calibri" w:hAnsi="Calibri" w:cs="Calibri"/>
                <w:b w:val="0"/>
                <w:i w:val="0"/>
                <w:sz w:val="17"/>
              </w:rPr>
              <w:t>de: variable con el mismo nombre de una columna; SYSDATE en un resultado esperado; bloque sin comentario de regla; texto copiado sin citar la fuente; datos de relleno (aaa, producto1) o empresas y personajes inventados.</w:t>
            </w:r>
          </w:p>
        </w:tc>
      </w:tr>
    </w:tbl>
    <w:p>
      <w:pPr>
        <w:spacing w:before="0" w:after="0"/>
      </w:pPr>
      <w:r>
        <w:rPr>
          <w:sz w:val="4"/>
        </w:rPr>
      </w:r>
    </w:p>
    <w:p>
      <w:pPr>
        <w:spacing w:before="140" w:after="40"/>
        <w:pBdr>
          <w:bottom w:val="single" w:sz="10" w:space="2" w:color="F4C220"/>
        </w:pBdr>
      </w:pPr>
      <w:r>
        <w:rPr>
          <w:rFonts w:ascii="Calibri" w:hAnsi="Calibri" w:cs="Calibri"/>
          <w:b/>
          <w:i w:val="0"/>
          <w:color w:val="1A2A4A"/>
          <w:sz w:val="23"/>
        </w:rPr>
        <w:t>Entrega</w:t>
      </w:r>
      <w:r>
        <w:rPr>
          <w:rFonts w:ascii="Calibri" w:hAnsi="Calibri" w:cs="Calibri"/>
          <w:b w:val="0"/>
          <w:i w:val="0"/>
          <w:color w:val="595959"/>
          <w:sz w:val="17"/>
        </w:rPr>
        <w:t xml:space="preserve">   viernes 23 de octubre de 2026, 23:59 · actividad «Proyecto · Entrega 1» del aula</w:t>
      </w:r>
    </w:p>
    <w:p>
      <w:pPr>
        <w:spacing w:before="0" w:after="30" w:line="254" w:lineRule="auto"/>
        <w:ind w:left="340" w:hanging="340"/>
      </w:pPr>
      <w:r>
        <w:rPr>
          <w:rFonts w:ascii="Calibri" w:hAnsi="Calibri" w:cs="Calibri"/>
          <w:b/>
          <w:i w:val="0"/>
          <w:color w:val="D9A800"/>
          <w:sz w:val="18"/>
        </w:rPr>
        <w:t xml:space="preserve">1.  </w:t>
      </w:r>
      <w:r>
        <w:rPr>
          <w:rFonts w:ascii="Calibri" w:hAnsi="Calibri" w:cs="Calibri"/>
          <w:b w:val="0"/>
          <w:i w:val="0"/>
          <w:sz w:val="18"/>
        </w:rPr>
        <w:t>Ejecute 00, 01, 02 y 03 en orden, en su esquema APEX, y verifique que no aparece ningún error.</w:t>
      </w:r>
    </w:p>
    <w:p>
      <w:pPr>
        <w:spacing w:before="0" w:after="30" w:line="254" w:lineRule="auto"/>
        <w:ind w:left="340" w:hanging="340"/>
      </w:pPr>
      <w:r>
        <w:rPr>
          <w:rFonts w:ascii="Calibri" w:hAnsi="Calibri" w:cs="Calibri"/>
          <w:b/>
          <w:i w:val="0"/>
          <w:color w:val="D9A800"/>
          <w:sz w:val="18"/>
        </w:rPr>
        <w:t xml:space="preserve">2.  </w:t>
      </w:r>
      <w:r>
        <w:rPr>
          <w:rFonts w:ascii="Calibri" w:hAnsi="Calibri" w:cs="Calibri"/>
          <w:b w:val="0"/>
          <w:i w:val="0"/>
          <w:sz w:val="18"/>
        </w:rPr>
        <w:t xml:space="preserve">Diligencie en </w:t>
      </w:r>
      <w:r>
        <w:rPr>
          <w:rFonts w:ascii="Consolas" w:hAnsi="Consolas" w:cs="Consolas"/>
          <w:b w:val="0"/>
          <w:i w:val="0"/>
          <w:color w:val="0F1A33"/>
          <w:sz w:val="17"/>
          <w:shd w:val="clear" w:fill="EDEFF5"/>
        </w:rPr>
        <w:t>COM32_proyecto_documento_plantilla.docx</w:t>
      </w:r>
      <w:r>
        <w:rPr>
          <w:rFonts w:ascii="Calibri" w:hAnsi="Calibri" w:cs="Calibri"/>
          <w:b w:val="0"/>
          <w:i w:val="0"/>
          <w:sz w:val="18"/>
        </w:rPr>
        <w:t xml:space="preserve"> el registro del grupo y las secciones marcadas E1, y expórtelo como </w:t>
      </w:r>
      <w:r>
        <w:rPr>
          <w:rFonts w:ascii="Consolas" w:hAnsi="Consolas" w:cs="Consolas"/>
          <w:b w:val="0"/>
          <w:i w:val="0"/>
          <w:color w:val="0F1A33"/>
          <w:sz w:val="17"/>
          <w:shd w:val="clear" w:fill="EDEFF5"/>
        </w:rPr>
        <w:t>informe_entrega1.pdf</w:t>
      </w:r>
      <w:r>
        <w:rPr>
          <w:rFonts w:ascii="Calibri" w:hAnsi="Calibri" w:cs="Calibri"/>
          <w:b w:val="0"/>
          <w:i w:val="0"/>
          <w:sz w:val="18"/>
        </w:rPr>
        <w:t>.</w:t>
      </w:r>
    </w:p>
    <w:p>
      <w:pPr>
        <w:spacing w:before="0" w:after="30" w:line="254" w:lineRule="auto"/>
        <w:ind w:left="340" w:hanging="340"/>
      </w:pPr>
      <w:r>
        <w:rPr>
          <w:rFonts w:ascii="Calibri" w:hAnsi="Calibri" w:cs="Calibri"/>
          <w:b/>
          <w:i w:val="0"/>
          <w:color w:val="D9A800"/>
          <w:sz w:val="18"/>
        </w:rPr>
        <w:t xml:space="preserve">3.  </w:t>
      </w:r>
      <w:r>
        <w:rPr>
          <w:rFonts w:ascii="Calibri" w:hAnsi="Calibri" w:cs="Calibri"/>
          <w:b w:val="0"/>
          <w:i w:val="0"/>
          <w:sz w:val="18"/>
        </w:rPr>
        <w:t xml:space="preserve">Comprima los cuatro scripts y el informe en </w:t>
      </w:r>
      <w:r>
        <w:rPr>
          <w:rFonts w:ascii="Consolas" w:hAnsi="Consolas" w:cs="Consolas"/>
          <w:b w:val="0"/>
          <w:i w:val="0"/>
          <w:color w:val="0F1A33"/>
          <w:sz w:val="17"/>
          <w:shd w:val="clear" w:fill="EDEFF5"/>
        </w:rPr>
        <w:t>COM32_Entrega1_GrupoN.zip</w:t>
      </w:r>
      <w:r>
        <w:rPr>
          <w:rFonts w:ascii="Calibri" w:hAnsi="Calibri" w:cs="Calibri"/>
          <w:b w:val="0"/>
          <w:i w:val="0"/>
          <w:sz w:val="18"/>
        </w:rPr>
        <w:t xml:space="preserve"> (N es el número del grupo). Un solo integrante lo sube; la entrega queda registrada para todo el grupo.</w:t>
      </w:r>
    </w:p>
    <w:p>
      <w:pPr>
        <w:spacing w:before="0" w:after="30" w:line="254" w:lineRule="auto"/>
        <w:ind w:left="340" w:hanging="340"/>
      </w:pPr>
      <w:r>
        <w:rPr>
          <w:rFonts w:ascii="Calibri" w:hAnsi="Calibri" w:cs="Calibri"/>
          <w:b/>
          <w:i w:val="0"/>
          <w:color w:val="D9A800"/>
          <w:sz w:val="18"/>
        </w:rPr>
        <w:t xml:space="preserve">4.  </w:t>
      </w:r>
      <w:r>
        <w:rPr>
          <w:rFonts w:ascii="Calibri" w:hAnsi="Calibri" w:cs="Calibri"/>
          <w:b w:val="0"/>
          <w:i w:val="0"/>
          <w:sz w:val="18"/>
        </w:rPr>
        <w:t>Las dudas sobre el enunciado se plantean al docente durante la sesión. No se reciben entregas por correo.</w:t>
      </w:r>
    </w:p>
    <w:p>
      <w:pPr>
        <w:spacing w:before="140" w:after="40"/>
        <w:pBdr>
          <w:bottom w:val="single" w:sz="10" w:space="2" w:color="F4C220"/>
        </w:pBdr>
      </w:pPr>
      <w:r>
        <w:rPr>
          <w:rFonts w:ascii="Calibri" w:hAnsi="Calibri" w:cs="Calibri"/>
          <w:b/>
          <w:i w:val="0"/>
          <w:color w:val="1A2A4A"/>
          <w:sz w:val="23"/>
        </w:rPr>
        <w:t>Contenido del archivo comprimido</w:t>
      </w:r>
      <w:r>
        <w:rPr>
          <w:rFonts w:ascii="Calibri" w:hAnsi="Calibri" w:cs="Calibri"/>
          <w:b w:val="0"/>
          <w:i w:val="0"/>
          <w:color w:val="595959"/>
          <w:sz w:val="17"/>
        </w:rPr>
        <w:t xml:space="preserve">   COM32_Entrega1_GrupoN.zip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4F5F9"/>
            <w:tcBorders>
              <w:top w:val="nil"/>
              <w:left w:val="single" w:sz="14" w:space="0" w:color="F4C220"/>
              <w:bottom w:val="nil"/>
              <w:right w:val="nil"/>
            </w:tcBorders>
            <w:tcMar>
              <w:top w:w="65" w:type="dxa"/>
              <w:left w:w="150" w:type="dxa"/>
              <w:bottom w:w="65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>COM32_Entrega1_GrupoN.zip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>├─ 00_limpiar.sql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>├─ 01_esquema.sql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>├─ 02_datos.sql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>├─ 03_validaciones.sql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>└─ informe_entrega1.pdf ... documento del proyecto: registro del grupo y secciones E1</w:t>
            </w:r>
          </w:p>
        </w:tc>
      </w:tr>
    </w:tbl>
    <w:p>
      <w:pPr>
        <w:spacing w:before="0" w:after="0"/>
      </w:pPr>
      <w:r>
        <w:rPr>
          <w:sz w:val="4"/>
        </w:rPr>
      </w:r>
    </w:p>
    <w:p>
      <w:pPr>
        <w:spacing w:before="80" w:after="60" w:line="259" w:lineRule="auto"/>
      </w:pPr>
      <w:r>
        <w:rPr>
          <w:rFonts w:ascii="Calibri" w:hAnsi="Calibri" w:cs="Calibri"/>
          <w:b w:val="0"/>
          <w:i/>
          <w:sz w:val="15"/>
        </w:rPr>
        <w:t>Institución Universitaria de Barranquilla · COM32 Programación en Base de Datos · Proyecto integrador · 2026-III</w:t>
      </w:r>
    </w:p>
    <w:sectPr w:rsidR="00FC693F" w:rsidRPr="0006063C" w:rsidSect="00034616">
      <w:pgSz w:w="12240" w:h="15840"/>
      <w:pgMar w:top="737" w:right="1134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color w:val="1A2A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