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CCA0D" w14:textId="6C0C165F" w:rsidR="0098554C" w:rsidRPr="009C22D6" w:rsidRDefault="000A0EFF" w:rsidP="009C22D6">
      <w:r w:rsidRPr="009C22D6">
        <w:t xml:space="preserve">Dos factores económicos que </w:t>
      </w:r>
      <w:r w:rsidR="00A0608D" w:rsidRPr="009C22D6">
        <w:t>surgieron en</w:t>
      </w:r>
      <w:r w:rsidRPr="009C22D6">
        <w:t xml:space="preserve"> el siglo XXI</w:t>
      </w:r>
    </w:p>
    <w:p w14:paraId="4AC0D380" w14:textId="77777777" w:rsidR="0098554C" w:rsidRPr="009C22D6" w:rsidRDefault="0098554C" w:rsidP="009C22D6">
      <w:r w:rsidRPr="009C22D6">
        <w:t>Durante el siglo XXI, la economía mundial ha experimentado cambios que han dado origen a nuevas formas de generar ingresos, realizar transacciones y desarrollar actividades comerciales. Estos cambios han sido impulsados principalmente por los avances tecnológicos y la creación de modelos de negocio diferentes a los tradicionales. Entre los fenómenos económicos más representativos de este periodo se encuentran la economía de plataformas digitales y el surgimiento de las criptomonedas, que han modificado tanto el mercado laboral como los sistemas de pago e inversión.</w:t>
      </w:r>
    </w:p>
    <w:p w14:paraId="627EC0CC" w14:textId="283C0F86" w:rsidR="0098554C" w:rsidRPr="009C22D6" w:rsidRDefault="0098554C" w:rsidP="009C22D6">
      <w:r w:rsidRPr="009C22D6">
        <w:t>La economía de plataformas digitales</w:t>
      </w:r>
    </w:p>
    <w:p w14:paraId="54CC9F8B" w14:textId="77777777" w:rsidR="0098554C" w:rsidRPr="009C22D6" w:rsidRDefault="0098554C" w:rsidP="009C22D6">
      <w:r w:rsidRPr="009C22D6">
        <w:t xml:space="preserve">La economía de plataformas digitales surgió como un modelo de negocio que conecta a consumidores, trabajadores y empresas mediante aplicaciones o páginas web. Aunque sus antecedentes son anteriores al siglo XXI, su desarrollo se aceleró durante este periodo con la expansión de los teléfonos inteligentes y el acceso a internet. Plataformas como Uber, Airbnb y </w:t>
      </w:r>
      <w:proofErr w:type="spellStart"/>
      <w:r w:rsidRPr="009C22D6">
        <w:t>Rappi</w:t>
      </w:r>
      <w:proofErr w:type="spellEnd"/>
      <w:r w:rsidRPr="009C22D6">
        <w:t xml:space="preserve"> son ejemplos de este modelo, pues permiten solicitar transporte, reservar alojamientos o comprar alimentos sin recurrir necesariamente a los canales comerciales tradicionales.</w:t>
      </w:r>
    </w:p>
    <w:p w14:paraId="49117AB3" w14:textId="77777777" w:rsidR="0098554C" w:rsidRPr="009C22D6" w:rsidRDefault="0098554C" w:rsidP="009C22D6">
      <w:r w:rsidRPr="009C22D6">
        <w:t>Uno de sus principales aportes ha sido la creación de nuevas formas de generar ingresos. Una persona puede ofrecer servicios de transporte, realizar entregas o desarrollar trabajos profesionales por internet sin tener que crear una empresa convencional. Asimismo, los negocios pueden acceder a más clientes y reducir algunas barreras de entrada al mercado.</w:t>
      </w:r>
    </w:p>
    <w:p w14:paraId="3E9D11C0" w14:textId="77777777" w:rsidR="0098554C" w:rsidRPr="009C22D6" w:rsidRDefault="0098554C" w:rsidP="009C22D6">
      <w:r w:rsidRPr="009C22D6">
        <w:t xml:space="preserve">Según la Organización Internacional del Trabajo (OIT, 2021), el número de plataformas digitales de trabajo se multiplicó por cinco en el mundo durante la década anterior a su informe. Este crecimiento evidencia la importancia que adquirieron estos modelos en la organización del trabajo y la prestación de servicios. </w:t>
      </w:r>
    </w:p>
    <w:p w14:paraId="6E749908" w14:textId="77777777" w:rsidR="0098554C" w:rsidRPr="009C22D6" w:rsidRDefault="0098554C" w:rsidP="009C22D6">
      <w:r w:rsidRPr="009C22D6">
        <w:t>Sin embargo, este fenómeno también presenta desafíos. Algunos trabajadores enfrentan ingresos variables, dependencia de los algoritmos de las aplicaciones y dificultades para acceder a las mismas protecciones laborales que tienen los empleados tradicionales. Por ello, la economía de plataformas representa una oportunidad de emprendimiento y empleo, pero también exige mecanismos que garanticen condiciones laborales adecuadas.</w:t>
      </w:r>
    </w:p>
    <w:p w14:paraId="0A1FB4EE" w14:textId="0F95FB9A" w:rsidR="0098554C" w:rsidRPr="009C22D6" w:rsidRDefault="0098554C" w:rsidP="009C22D6">
      <w:r w:rsidRPr="009C22D6">
        <w:t>La economía de las criptomonedas</w:t>
      </w:r>
    </w:p>
    <w:p w14:paraId="3E2C3A48" w14:textId="77777777" w:rsidR="0098554C" w:rsidRPr="009C22D6" w:rsidRDefault="0098554C" w:rsidP="009C22D6">
      <w:r w:rsidRPr="009C22D6">
        <w:lastRenderedPageBreak/>
        <w:t xml:space="preserve">La economía de las criptomonedas comenzó a desarrollarse a finales de la primera década del siglo XXI. Su principal referente es Bitcoin, cuya primera implementación apareció en 2009. Estas monedas digitales utilizan tecnologías criptográficas y redes informáticas para registrar y verificar transacciones; Bitcoin, particularmente, permite realizar operaciones sin depender de una autoridad central que administre directamente la red. </w:t>
      </w:r>
    </w:p>
    <w:p w14:paraId="7FF5BE47" w14:textId="77777777" w:rsidR="0098554C" w:rsidRPr="009C22D6" w:rsidRDefault="0098554C" w:rsidP="009C22D6">
      <w:r w:rsidRPr="009C22D6">
        <w:t>La aparición de las criptomonedas abrió nuevas posibilidades para realizar pagos digitales, transferir activos e invertir en mercados que funcionan a través de internet. También impulsó el desarrollo de actividades económicas relacionadas con las plataformas de intercambio, la custodia de activos digitales y la tecnología blockchain.</w:t>
      </w:r>
    </w:p>
    <w:p w14:paraId="782A60D4" w14:textId="6FD90C75" w:rsidR="0098554C" w:rsidRPr="009C22D6" w:rsidRDefault="0098554C" w:rsidP="009C22D6">
      <w:r w:rsidRPr="009C22D6">
        <w:t xml:space="preserve">El crecimiento de este mercado ha sido considerable, aunque muy inestable. El Fondo Monetario Internacional (FMI, 2022) señaló que la capitalización del mercado de criptoactivos alcanzó casi 3 billones de dólares en 2021, antes de descender hasta aproximadamente 1 billón de dólares a mediados de 2022. </w:t>
      </w:r>
    </w:p>
    <w:p w14:paraId="0CD1A0E0" w14:textId="77777777" w:rsidR="0098554C" w:rsidRPr="009C22D6" w:rsidRDefault="0098554C" w:rsidP="009C22D6">
      <w:r w:rsidRPr="009C22D6">
        <w:t>Estas cifras demuestran que las criptomonedas se convirtieron en una nueva categoría de activos dentro de la economía mundial. Sin embargo, sus precios pueden experimentar fuertes fluctuaciones, existe riesgo de fraude y no todas cuentan con respaldo de activos tradicionales. Por esta razón, invertir en ellas requiere comprender sus riesgos y las condiciones aplicables en cada país.</w:t>
      </w:r>
    </w:p>
    <w:p w14:paraId="5DF151D7" w14:textId="77777777" w:rsidR="0098554C" w:rsidRPr="009C22D6" w:rsidRDefault="0098554C" w:rsidP="009C22D6"/>
    <w:p w14:paraId="3EDF8EE3" w14:textId="77777777" w:rsidR="000A0EFF" w:rsidRPr="009C22D6" w:rsidRDefault="000A0EFF" w:rsidP="009C22D6"/>
    <w:sectPr w:rsidR="000A0EFF" w:rsidRPr="009C22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EFF"/>
    <w:rsid w:val="000A0EFF"/>
    <w:rsid w:val="00480AA5"/>
    <w:rsid w:val="00485A87"/>
    <w:rsid w:val="0098554C"/>
    <w:rsid w:val="009C22D6"/>
    <w:rsid w:val="009D3EA9"/>
    <w:rsid w:val="009D6343"/>
    <w:rsid w:val="00A0608D"/>
    <w:rsid w:val="00CA70AD"/>
    <w:rsid w:val="00D9686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31D15"/>
  <w15:chartTrackingRefBased/>
  <w15:docId w15:val="{5985997A-4DDC-4D78-AE96-E1D072C5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0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A0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A0E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0E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0E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0E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0E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0E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0E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0E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A0E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A0E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0E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0E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0E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0E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0E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0EFF"/>
    <w:rPr>
      <w:rFonts w:eastAsiaTheme="majorEastAsia" w:cstheme="majorBidi"/>
      <w:color w:val="272727" w:themeColor="text1" w:themeTint="D8"/>
    </w:rPr>
  </w:style>
  <w:style w:type="paragraph" w:styleId="Ttulo">
    <w:name w:val="Title"/>
    <w:basedOn w:val="Normal"/>
    <w:next w:val="Normal"/>
    <w:link w:val="TtuloCar"/>
    <w:uiPriority w:val="10"/>
    <w:qFormat/>
    <w:rsid w:val="000A0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0E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0E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0E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0EFF"/>
    <w:pPr>
      <w:spacing w:before="160"/>
      <w:jc w:val="center"/>
    </w:pPr>
    <w:rPr>
      <w:i/>
      <w:iCs/>
      <w:color w:val="404040" w:themeColor="text1" w:themeTint="BF"/>
    </w:rPr>
  </w:style>
  <w:style w:type="character" w:customStyle="1" w:styleId="CitaCar">
    <w:name w:val="Cita Car"/>
    <w:basedOn w:val="Fuentedeprrafopredeter"/>
    <w:link w:val="Cita"/>
    <w:uiPriority w:val="29"/>
    <w:rsid w:val="000A0EFF"/>
    <w:rPr>
      <w:i/>
      <w:iCs/>
      <w:color w:val="404040" w:themeColor="text1" w:themeTint="BF"/>
    </w:rPr>
  </w:style>
  <w:style w:type="paragraph" w:styleId="Prrafodelista">
    <w:name w:val="List Paragraph"/>
    <w:basedOn w:val="Normal"/>
    <w:uiPriority w:val="34"/>
    <w:qFormat/>
    <w:rsid w:val="000A0EFF"/>
    <w:pPr>
      <w:ind w:left="720"/>
      <w:contextualSpacing/>
    </w:pPr>
  </w:style>
  <w:style w:type="character" w:styleId="nfasisintenso">
    <w:name w:val="Intense Emphasis"/>
    <w:basedOn w:val="Fuentedeprrafopredeter"/>
    <w:uiPriority w:val="21"/>
    <w:qFormat/>
    <w:rsid w:val="000A0EFF"/>
    <w:rPr>
      <w:i/>
      <w:iCs/>
      <w:color w:val="0F4761" w:themeColor="accent1" w:themeShade="BF"/>
    </w:rPr>
  </w:style>
  <w:style w:type="paragraph" w:styleId="Citadestacada">
    <w:name w:val="Intense Quote"/>
    <w:basedOn w:val="Normal"/>
    <w:next w:val="Normal"/>
    <w:link w:val="CitadestacadaCar"/>
    <w:uiPriority w:val="30"/>
    <w:qFormat/>
    <w:rsid w:val="000A0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0EFF"/>
    <w:rPr>
      <w:i/>
      <w:iCs/>
      <w:color w:val="0F4761" w:themeColor="accent1" w:themeShade="BF"/>
    </w:rPr>
  </w:style>
  <w:style w:type="character" w:styleId="Referenciaintensa">
    <w:name w:val="Intense Reference"/>
    <w:basedOn w:val="Fuentedeprrafopredeter"/>
    <w:uiPriority w:val="32"/>
    <w:qFormat/>
    <w:rsid w:val="000A0EFF"/>
    <w:rPr>
      <w:b/>
      <w:bCs/>
      <w:smallCaps/>
      <w:color w:val="0F4761" w:themeColor="accent1" w:themeShade="BF"/>
      <w:spacing w:val="5"/>
    </w:rPr>
  </w:style>
  <w:style w:type="character" w:styleId="Hipervnculo">
    <w:name w:val="Hyperlink"/>
    <w:basedOn w:val="Fuentedeprrafopredeter"/>
    <w:uiPriority w:val="99"/>
    <w:unhideWhenUsed/>
    <w:rsid w:val="0098554C"/>
    <w:rPr>
      <w:color w:val="467886" w:themeColor="hyperlink"/>
      <w:u w:val="single"/>
    </w:rPr>
  </w:style>
  <w:style w:type="character" w:styleId="Mencinsinresolver">
    <w:name w:val="Unresolved Mention"/>
    <w:basedOn w:val="Fuentedeprrafopredeter"/>
    <w:uiPriority w:val="99"/>
    <w:semiHidden/>
    <w:unhideWhenUsed/>
    <w:rsid w:val="00985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a179dad-d7ea-48f8-b812-268fbbc4c37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1B5E4E2CDBBD046B65E5762819E9707" ma:contentTypeVersion="15" ma:contentTypeDescription="Crear nuevo documento." ma:contentTypeScope="" ma:versionID="ddfae982b9ae80fea59ad578cc5e00bb">
  <xsd:schema xmlns:xsd="http://www.w3.org/2001/XMLSchema" xmlns:xs="http://www.w3.org/2001/XMLSchema" xmlns:p="http://schemas.microsoft.com/office/2006/metadata/properties" xmlns:ns3="8a179dad-d7ea-48f8-b812-268fbbc4c377" xmlns:ns4="3310f411-0e28-4fda-b433-45e85aa58d37" targetNamespace="http://schemas.microsoft.com/office/2006/metadata/properties" ma:root="true" ma:fieldsID="64c40585d12640965b077e9883a596ed" ns3:_="" ns4:_="">
    <xsd:import namespace="8a179dad-d7ea-48f8-b812-268fbbc4c377"/>
    <xsd:import namespace="3310f411-0e28-4fda-b433-45e85aa58d37"/>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179dad-d7ea-48f8-b812-268fbbc4c3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10f411-0e28-4fda-b433-45e85aa58d37"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DC375A-8ADD-4A23-AC9A-D39B4AD5605F}">
  <ds:schemaRefs>
    <ds:schemaRef ds:uri="http://schemas.microsoft.com/office/2006/metadata/properties"/>
    <ds:schemaRef ds:uri="http://schemas.microsoft.com/office/infopath/2007/PartnerControls"/>
    <ds:schemaRef ds:uri="8a179dad-d7ea-48f8-b812-268fbbc4c377"/>
  </ds:schemaRefs>
</ds:datastoreItem>
</file>

<file path=customXml/itemProps2.xml><?xml version="1.0" encoding="utf-8"?>
<ds:datastoreItem xmlns:ds="http://schemas.openxmlformats.org/officeDocument/2006/customXml" ds:itemID="{09C06713-273F-46EF-9AA1-A5A80DAC8336}">
  <ds:schemaRefs>
    <ds:schemaRef ds:uri="http://schemas.microsoft.com/sharepoint/v3/contenttype/forms"/>
  </ds:schemaRefs>
</ds:datastoreItem>
</file>

<file path=customXml/itemProps3.xml><?xml version="1.0" encoding="utf-8"?>
<ds:datastoreItem xmlns:ds="http://schemas.openxmlformats.org/officeDocument/2006/customXml" ds:itemID="{EFD6F964-E479-467D-8437-1B339CAF0F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179dad-d7ea-48f8-b812-268fbbc4c377"/>
    <ds:schemaRef ds:uri="3310f411-0e28-4fda-b433-45e85aa58d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585</Words>
  <Characters>3223</Characters>
  <Application>Microsoft Office Word</Application>
  <DocSecurity>0</DocSecurity>
  <Lines>26</Lines>
  <Paragraphs>7</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BRAYAN DE JESUS  MUNOZ ACUNA</dc:creator>
  <cp:keywords/>
  <dc:description/>
  <cp:lastModifiedBy>BRAYAN DE JESUS  MUNOZ ACUNA</cp:lastModifiedBy>
  <cp:revision>2</cp:revision>
  <dcterms:created xsi:type="dcterms:W3CDTF">2026-10-19T18:24:00Z</dcterms:created>
  <dcterms:modified xsi:type="dcterms:W3CDTF">2026-10-19T18:24:00Z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0x01010011B5E4E2CDBBD046B65E5762819E9707</vt:lpwstr>
  </property>
</Properties>
</file>