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40"/>
        <w:jc w:val="center"/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Jose M Briz</w:t>
      </w:r>
    </w:p>
    <w:p>
      <w:pPr>
        <w:pStyle w:val="Body"/>
        <w:spacing w:after="40"/>
        <w:jc w:val="center"/>
      </w:pPr>
      <w:r>
        <w:rPr>
          <w:rFonts w:ascii="Verdana" w:hAnsi="Verdana"/>
          <w:sz w:val="18"/>
          <w:szCs w:val="18"/>
          <w:rtl w:val="0"/>
        </w:rPr>
        <w:t xml:space="preserve"> </w:t>
      </w:r>
      <w:r>
        <w:rPr>
          <w:rFonts w:ascii="Verdana" w:hAnsi="Verdana"/>
          <w:sz w:val="18"/>
          <w:szCs w:val="18"/>
          <w:rtl w:val="0"/>
          <w:lang w:val="en-US"/>
        </w:rPr>
        <w:t xml:space="preserve">+1 </w:t>
      </w:r>
      <w:r>
        <w:rPr>
          <w:rFonts w:ascii="Verdana" w:hAnsi="Verdana"/>
          <w:sz w:val="18"/>
          <w:szCs w:val="18"/>
          <w:rtl w:val="0"/>
        </w:rPr>
        <w:t>(</w:t>
      </w:r>
      <w:r>
        <w:rPr>
          <w:rFonts w:ascii="Verdana" w:hAnsi="Verdana"/>
          <w:sz w:val="18"/>
          <w:szCs w:val="18"/>
          <w:rtl w:val="0"/>
          <w:lang w:val="en-US"/>
        </w:rPr>
        <w:t>786</w:t>
      </w:r>
      <w:r>
        <w:rPr>
          <w:rFonts w:ascii="Verdana" w:hAnsi="Verdana"/>
          <w:sz w:val="18"/>
          <w:szCs w:val="18"/>
          <w:rtl w:val="0"/>
        </w:rPr>
        <w:t xml:space="preserve">) </w:t>
      </w:r>
      <w:r>
        <w:rPr>
          <w:rFonts w:ascii="Verdana" w:hAnsi="Verdana"/>
          <w:sz w:val="18"/>
          <w:szCs w:val="18"/>
          <w:rtl w:val="0"/>
          <w:lang w:val="en-US"/>
        </w:rPr>
        <w:t>590</w:t>
      </w:r>
      <w:r>
        <w:rPr>
          <w:rFonts w:ascii="Verdana" w:hAnsi="Verdana"/>
          <w:sz w:val="18"/>
          <w:szCs w:val="18"/>
          <w:rtl w:val="0"/>
        </w:rPr>
        <w:t>-</w:t>
      </w:r>
      <w:r>
        <w:rPr>
          <w:rFonts w:ascii="Verdana" w:hAnsi="Verdana"/>
          <w:sz w:val="18"/>
          <w:szCs w:val="18"/>
          <w:rtl w:val="0"/>
          <w:lang w:val="en-US"/>
        </w:rPr>
        <w:t>6024</w:t>
      </w:r>
      <w:r>
        <w:rPr>
          <w:rFonts w:ascii="Verdana" w:hAnsi="Verdana"/>
          <w:sz w:val="18"/>
          <w:szCs w:val="18"/>
          <w:rtl w:val="0"/>
        </w:rPr>
        <w:t xml:space="preserve"> | </w:t>
      </w:r>
      <w:r>
        <w:rPr>
          <w:rStyle w:val="Hyperlink.0"/>
          <w:rFonts w:ascii="Verdana" w:cs="Verdana" w:hAnsi="Verdana" w:eastAsia="Verdana"/>
          <w:sz w:val="18"/>
          <w:szCs w:val="18"/>
        </w:rPr>
        <w:fldChar w:fldCharType="begin" w:fldLock="0"/>
      </w:r>
      <w:r>
        <w:rPr>
          <w:rStyle w:val="Hyperlink.0"/>
          <w:rFonts w:ascii="Verdana" w:cs="Verdana" w:hAnsi="Verdana" w:eastAsia="Verdana"/>
          <w:sz w:val="18"/>
          <w:szCs w:val="18"/>
        </w:rPr>
        <w:instrText xml:space="preserve"> HYPERLINK "mailto:brizjosem@gmail.com"</w:instrText>
      </w:r>
      <w:r>
        <w:rPr>
          <w:rStyle w:val="Hyperlink.0"/>
          <w:rFonts w:ascii="Verdana" w:cs="Verdana" w:hAnsi="Verdana" w:eastAsia="Verdana"/>
          <w:sz w:val="18"/>
          <w:szCs w:val="18"/>
        </w:rPr>
        <w:fldChar w:fldCharType="separate" w:fldLock="0"/>
      </w:r>
      <w:r>
        <w:rPr>
          <w:rStyle w:val="Hyperlink.0"/>
          <w:rFonts w:ascii="Verdana" w:hAnsi="Verdana"/>
          <w:sz w:val="18"/>
          <w:szCs w:val="18"/>
          <w:rtl w:val="0"/>
        </w:rPr>
        <w:t>brizjosem@gmail.com</w:t>
      </w:r>
      <w:r>
        <w:rPr>
          <w:rFonts w:ascii="Verdana" w:cs="Verdana" w:hAnsi="Verdana" w:eastAsia="Verdana"/>
          <w:sz w:val="18"/>
          <w:szCs w:val="18"/>
        </w:rPr>
        <w:fldChar w:fldCharType="end" w:fldLock="0"/>
      </w:r>
    </w:p>
    <w:p>
      <w:pPr>
        <w:pStyle w:val="Body"/>
        <w:spacing w:after="40"/>
        <w:jc w:val="both"/>
      </w:pP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 A"/>
        <w:spacing w:after="40"/>
        <w:jc w:val="both"/>
      </w:pP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University of Houston, C. T. Bauer College of Business</w:t>
      </w: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sz w:val="18"/>
          <w:szCs w:val="18"/>
          <w:rtl w:val="0"/>
          <w:lang w:val="en-US"/>
        </w:rPr>
        <w:t>Master of Business Administration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 xml:space="preserve"> - Global Energy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>, May 2016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Style w:val="None"/>
          <w:sz w:val="20"/>
          <w:szCs w:val="20"/>
          <w:rtl w:val="0"/>
        </w:rPr>
        <w:t xml:space="preserve">Delta Iota Chapter </w:t>
      </w:r>
      <w:r>
        <w:rPr>
          <w:rStyle w:val="None"/>
          <w:sz w:val="20"/>
          <w:szCs w:val="20"/>
          <w:rtl w:val="0"/>
          <w:lang w:val="en-US"/>
        </w:rPr>
        <w:t xml:space="preserve">of </w:t>
      </w:r>
      <w:r>
        <w:rPr>
          <w:rStyle w:val="None"/>
          <w:sz w:val="20"/>
          <w:szCs w:val="20"/>
          <w:rtl w:val="0"/>
          <w:lang w:val="en-US"/>
        </w:rPr>
        <w:t xml:space="preserve">Phi Beta Delta, Honor Society for International Scholars </w:t>
      </w: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s-ES_tradnl"/>
        </w:rPr>
        <w:t>Universidad Francisco Marroquin, Guatemala</w:t>
      </w: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sz w:val="18"/>
          <w:szCs w:val="18"/>
          <w:rtl w:val="0"/>
          <w:lang w:val="en-US"/>
        </w:rPr>
        <w:t>BA, Major in Accountancy</w:t>
      </w:r>
      <w:r>
        <w:rPr>
          <w:rFonts w:ascii="Verdana" w:hAnsi="Verdana"/>
          <w:sz w:val="18"/>
          <w:szCs w:val="18"/>
          <w:rtl w:val="0"/>
        </w:rPr>
        <w:t>, 2001</w:t>
      </w: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sz w:val="18"/>
          <w:szCs w:val="18"/>
          <w:rtl w:val="0"/>
          <w:lang w:val="en-US"/>
        </w:rPr>
        <w:t xml:space="preserve">Thesis project:  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>Subjective Value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 xml:space="preserve"> and Financial Decision Making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de-DE"/>
        </w:rPr>
        <w:t>EXPERIENCE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Riskulture LLC, Oklahoma City, OK, USA (June 2017 to date)</w:t>
      </w:r>
    </w:p>
    <w:p>
      <w:pPr>
        <w:pStyle w:val="Body"/>
        <w:spacing w:after="40"/>
        <w:jc w:val="both"/>
      </w:pPr>
      <w:r>
        <w:rPr>
          <w:rFonts w:ascii="Verdana" w:hAnsi="Verdana"/>
          <w:i w:val="1"/>
          <w:iCs w:val="1"/>
          <w:sz w:val="18"/>
          <w:szCs w:val="18"/>
          <w:rtl w:val="0"/>
          <w:lang w:val="en-US"/>
        </w:rPr>
        <w:t>Principal</w:t>
      </w:r>
    </w:p>
    <w:p>
      <w:pPr>
        <w:pStyle w:val="List Paragraph"/>
        <w:numPr>
          <w:ilvl w:val="0"/>
          <w:numId w:val="2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 xml:space="preserve">Independent market risk management consultant &amp; commodity trading advisor   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ED&amp;F Man Capital Markets, Miami, FL, USA (January 2017 - May 2017)</w:t>
      </w:r>
    </w:p>
    <w:p>
      <w:pPr>
        <w:pStyle w:val="Body"/>
        <w:spacing w:after="40"/>
        <w:jc w:val="both"/>
      </w:pPr>
      <w:r>
        <w:rPr>
          <w:rFonts w:ascii="Verdana" w:hAnsi="Verdana"/>
          <w:i w:val="1"/>
          <w:iCs w:val="1"/>
          <w:sz w:val="18"/>
          <w:szCs w:val="18"/>
          <w:rtl w:val="0"/>
          <w:lang w:val="en-US"/>
        </w:rPr>
        <w:t>Relationship Manager - LATAM (Series 3)</w:t>
      </w:r>
    </w:p>
    <w:p>
      <w:pPr>
        <w:pStyle w:val="List Paragraph"/>
        <w:numPr>
          <w:ilvl w:val="0"/>
          <w:numId w:val="2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 xml:space="preserve">Expand risk management services unit for Latin American territory   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Olam International Ltd., Houston, TX, USA (May 2016 - January 2017)</w:t>
      </w:r>
    </w:p>
    <w:p>
      <w:pPr>
        <w:pStyle w:val="Body"/>
        <w:spacing w:after="40"/>
        <w:jc w:val="both"/>
      </w:pPr>
      <w:r>
        <w:rPr>
          <w:rFonts w:ascii="Verdana" w:hAnsi="Verdana"/>
          <w:i w:val="1"/>
          <w:iCs w:val="1"/>
          <w:sz w:val="18"/>
          <w:szCs w:val="18"/>
          <w:rtl w:val="0"/>
          <w:lang w:val="en-US"/>
        </w:rPr>
        <w:t xml:space="preserve">Head of Risk Management Solutions - LATAM </w:t>
      </w:r>
    </w:p>
    <w:p>
      <w:pPr>
        <w:pStyle w:val="List Paragraph"/>
        <w:numPr>
          <w:ilvl w:val="0"/>
          <w:numId w:val="2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Business development Latin America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it-IT"/>
        </w:rPr>
        <w:t>Macquarie Bank Ltd.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, Houston, TX, USA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 xml:space="preserve"> (November 2011 </w:t>
      </w:r>
      <w:r>
        <w:rPr>
          <w:rStyle w:val="None"/>
          <w:rFonts w:ascii="Verdana" w:hAnsi="Verdana" w:hint="default"/>
          <w:b w:val="1"/>
          <w:bCs w:val="1"/>
          <w:sz w:val="18"/>
          <w:szCs w:val="18"/>
          <w:rtl w:val="0"/>
          <w:lang w:val="en-US"/>
        </w:rPr>
        <w:t xml:space="preserve">– 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April 2015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 xml:space="preserve">) </w:t>
      </w: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i w:val="1"/>
          <w:iCs w:val="1"/>
          <w:sz w:val="18"/>
          <w:szCs w:val="18"/>
          <w:rtl w:val="0"/>
        </w:rPr>
        <w:t>Director/FICC</w:t>
      </w: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 xml:space="preserve"> Sales</w:t>
      </w:r>
      <w:r>
        <w:rPr>
          <w:rStyle w:val="None"/>
          <w:rFonts w:ascii="Verdana" w:hAnsi="Verdana"/>
          <w:i w:val="1"/>
          <w:iCs w:val="1"/>
          <w:sz w:val="18"/>
          <w:szCs w:val="18"/>
          <w:rtl w:val="0"/>
        </w:rPr>
        <w:t xml:space="preserve"> LATAM</w:t>
      </w:r>
    </w:p>
    <w:p>
      <w:pPr>
        <w:pStyle w:val="List Paragraph"/>
        <w:numPr>
          <w:ilvl w:val="0"/>
          <w:numId w:val="2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Business development of investment bank services in Latin America</w:t>
      </w:r>
    </w:p>
    <w:p>
      <w:pPr>
        <w:pStyle w:val="List Paragraph"/>
        <w:spacing w:after="40"/>
        <w:ind w:left="0" w:firstLine="0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>Citibank NA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, Houston, TX, USA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 xml:space="preserve"> (April 2008 </w:t>
      </w:r>
      <w:r>
        <w:rPr>
          <w:rStyle w:val="None"/>
          <w:rFonts w:ascii="Verdana" w:hAnsi="Verdana" w:hint="default"/>
          <w:b w:val="1"/>
          <w:bCs w:val="1"/>
          <w:sz w:val="18"/>
          <w:szCs w:val="18"/>
          <w:rtl w:val="0"/>
          <w:lang w:val="en-US"/>
        </w:rPr>
        <w:t xml:space="preserve">– 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October 2011)</w:t>
      </w: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>Vice President/FICC Sales LATAM</w:t>
      </w:r>
    </w:p>
    <w:p>
      <w:pPr>
        <w:pStyle w:val="List Paragraph"/>
        <w:numPr>
          <w:ilvl w:val="0"/>
          <w:numId w:val="2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Business development and structuring for Latin American region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>Citibank Guatemala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, Guatemala City, GUA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 xml:space="preserve"> (April 2006 </w:t>
      </w:r>
      <w:r>
        <w:rPr>
          <w:rStyle w:val="None"/>
          <w:rFonts w:ascii="Verdana" w:hAnsi="Verdana" w:hint="default"/>
          <w:b w:val="1"/>
          <w:bCs w:val="1"/>
          <w:sz w:val="18"/>
          <w:szCs w:val="18"/>
          <w:rtl w:val="0"/>
          <w:lang w:val="en-US"/>
        </w:rPr>
        <w:t xml:space="preserve">– 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</w:rPr>
        <w:t>April 2008)</w:t>
      </w: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i w:val="1"/>
          <w:iCs w:val="1"/>
          <w:sz w:val="18"/>
          <w:szCs w:val="18"/>
          <w:rtl w:val="0"/>
        </w:rPr>
        <w:t xml:space="preserve">FICC </w:t>
      </w: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>Guatemala Head of Derivatives Sales</w:t>
      </w:r>
    </w:p>
    <w:p>
      <w:pPr>
        <w:pStyle w:val="List Paragraph"/>
        <w:numPr>
          <w:ilvl w:val="0"/>
          <w:numId w:val="4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Generalist OTC derivatives</w:t>
      </w:r>
      <w:r>
        <w:rPr>
          <w:rFonts w:ascii="Verdana" w:hAnsi="Verdana"/>
          <w:sz w:val="18"/>
          <w:szCs w:val="18"/>
          <w:rtl w:val="0"/>
          <w:lang w:val="en-US"/>
        </w:rPr>
        <w:t xml:space="preserve"> </w:t>
      </w:r>
      <w:r>
        <w:rPr>
          <w:rFonts w:ascii="Verdana" w:hAnsi="Verdana"/>
          <w:sz w:val="18"/>
          <w:szCs w:val="18"/>
          <w:rtl w:val="0"/>
          <w:lang w:val="en-US"/>
        </w:rPr>
        <w:t>marketing and structuring (FX, Interst Rates, commodities)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pt-PT"/>
        </w:rPr>
        <w:t>Grupo G&amp;T Continental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, Guatemala City, GUA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 xml:space="preserve"> (June 2003 </w:t>
      </w:r>
      <w:r>
        <w:rPr>
          <w:rStyle w:val="None"/>
          <w:rFonts w:ascii="Verdana" w:hAnsi="Verdana" w:hint="default"/>
          <w:b w:val="1"/>
          <w:bCs w:val="1"/>
          <w:sz w:val="18"/>
          <w:szCs w:val="18"/>
          <w:rtl w:val="0"/>
          <w:lang w:val="en-US"/>
        </w:rPr>
        <w:t xml:space="preserve">– 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March 2006)</w:t>
      </w: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>Investment Manager</w:t>
      </w:r>
    </w:p>
    <w:p>
      <w:pPr>
        <w:pStyle w:val="List Paragraph"/>
        <w:numPr>
          <w:ilvl w:val="0"/>
          <w:numId w:val="4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Fixed income portfolio manager</w:t>
      </w:r>
    </w:p>
    <w:p>
      <w:pPr>
        <w:pStyle w:val="Body"/>
        <w:spacing w:after="40"/>
        <w:jc w:val="both"/>
      </w:pP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it-IT"/>
        </w:rPr>
        <w:t>Cuscatlan Securities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, Guatemala City, GUA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 xml:space="preserve"> (October 2001 </w:t>
      </w:r>
      <w:r>
        <w:rPr>
          <w:rStyle w:val="None"/>
          <w:rFonts w:ascii="Verdana" w:hAnsi="Verdana" w:hint="default"/>
          <w:b w:val="1"/>
          <w:bCs w:val="1"/>
          <w:sz w:val="18"/>
          <w:szCs w:val="18"/>
          <w:rtl w:val="0"/>
          <w:lang w:val="en-US"/>
        </w:rPr>
        <w:t xml:space="preserve">– </w:t>
      </w: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it-IT"/>
        </w:rPr>
        <w:t>April 2003)</w:t>
      </w:r>
    </w:p>
    <w:p>
      <w:pPr>
        <w:pStyle w:val="Body"/>
        <w:spacing w:after="40"/>
        <w:jc w:val="both"/>
      </w:pP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>Securities Broker</w:t>
      </w:r>
      <w:r>
        <w:rPr>
          <w:rStyle w:val="None"/>
          <w:rFonts w:ascii="Verdana" w:hAnsi="Verdana"/>
          <w:i w:val="1"/>
          <w:iCs w:val="1"/>
          <w:sz w:val="18"/>
          <w:szCs w:val="18"/>
          <w:rtl w:val="0"/>
          <w:lang w:val="en-US"/>
        </w:rPr>
        <w:t xml:space="preserve"> (Series 7, Series 24)</w:t>
      </w:r>
    </w:p>
    <w:p>
      <w:pPr>
        <w:pStyle w:val="List Paragraph"/>
        <w:numPr>
          <w:ilvl w:val="0"/>
          <w:numId w:val="4"/>
        </w:numPr>
        <w:spacing w:after="4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rtl w:val="0"/>
          <w:lang w:val="en-US"/>
        </w:rPr>
        <w:t>Broker - dealer and wealth management</w:t>
      </w:r>
    </w:p>
    <w:p>
      <w:pPr>
        <w:pStyle w:val="Body"/>
        <w:spacing w:after="40"/>
        <w:jc w:val="both"/>
      </w:pPr>
    </w:p>
    <w:p>
      <w:pPr>
        <w:pStyle w:val="Body A"/>
        <w:spacing w:after="40"/>
        <w:jc w:val="both"/>
      </w:pPr>
      <w:r>
        <w:rPr>
          <w:rStyle w:val="None"/>
          <w:rFonts w:ascii="Verdana" w:hAnsi="Verdana"/>
          <w:b w:val="1"/>
          <w:bCs w:val="1"/>
          <w:sz w:val="18"/>
          <w:szCs w:val="18"/>
          <w:rtl w:val="0"/>
          <w:lang w:val="en-US"/>
        </w:rPr>
        <w:t>PROFESSIONAL AFFILIATIONS</w:t>
      </w:r>
    </w:p>
    <w:p>
      <w:pPr>
        <w:pStyle w:val="Body A"/>
        <w:numPr>
          <w:ilvl w:val="0"/>
          <w:numId w:val="6"/>
        </w:numPr>
        <w:spacing w:after="40"/>
        <w:jc w:val="both"/>
        <w:rPr>
          <w:rFonts w:ascii="Verdana" w:hAnsi="Verdana"/>
          <w:sz w:val="18"/>
          <w:szCs w:val="18"/>
          <w:lang w:val="en-US"/>
        </w:rPr>
      </w:pPr>
      <w:r>
        <w:rPr>
          <w:rStyle w:val="None"/>
          <w:rFonts w:ascii="Verdana" w:hAnsi="Verdana"/>
          <w:sz w:val="18"/>
          <w:szCs w:val="18"/>
          <w:rtl w:val="0"/>
          <w:lang w:val="en-US"/>
        </w:rPr>
        <w:t>Market Technicians Association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 xml:space="preserve"> -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 xml:space="preserve"> Chartered Market Technician</w:t>
      </w:r>
      <w:r>
        <w:rPr>
          <w:rStyle w:val="None"/>
          <w:rFonts w:ascii="Verdana" w:hAnsi="Verdana"/>
          <w:sz w:val="18"/>
          <w:szCs w:val="18"/>
          <w:rtl w:val="0"/>
          <w:lang w:val="en-US"/>
        </w:rPr>
        <w:t>, member since October 2005</w:t>
      </w:r>
    </w:p>
    <w:p>
      <w:pPr>
        <w:pStyle w:val="Body A"/>
        <w:numPr>
          <w:ilvl w:val="0"/>
          <w:numId w:val="6"/>
        </w:numPr>
        <w:spacing w:after="40"/>
        <w:jc w:val="both"/>
        <w:rPr>
          <w:rFonts w:ascii="Verdana" w:hAnsi="Verdana"/>
          <w:sz w:val="18"/>
          <w:szCs w:val="18"/>
          <w:lang w:val="en-US"/>
        </w:rPr>
      </w:pPr>
      <w:r>
        <w:rPr>
          <w:rStyle w:val="None"/>
          <w:rFonts w:ascii="Verdana" w:hAnsi="Verdana"/>
          <w:sz w:val="18"/>
          <w:szCs w:val="18"/>
          <w:rtl w:val="0"/>
          <w:lang w:val="en-US"/>
        </w:rPr>
        <w:t>National Futures Association - Commodity Trading Advisor, NFAID:  0505692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11" w:hanging="13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11" w:hanging="13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5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