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play-acting were when I was alone with my thoughts. Which wasn’t often.</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bookmarkEnd w:id="35"/>
    <w:bookmarkStart w:id="36" w:name="the-pills"/>
    <w:p>
      <w:pPr>
        <w:pStyle w:val="Heading3"/>
      </w:pPr>
      <w:r>
        <w:rPr>
          <w:iCs/>
          <w:i/>
        </w:rPr>
        <w:t xml:space="preserve">The Pills</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One night before Lou and Donna made it down, I went out, and I drove home drunk.</w:t>
      </w:r>
    </w:p>
    <w:p>
      <w:pPr>
        <w:pStyle w:val="BodyText"/>
      </w:pPr>
      <w:r>
        <w:t xml:space="preserve">I stopped at a red light and looked left. A cop. I looked right. Another cop. A man on a suspended license with liquor on his breath, boxed in on both sides, in a town where nobody knew him yet. I put both hands on the wheel and held my breath. I did not look at either of them. The light took forever.</w:t>
      </w:r>
    </w:p>
    <w:p>
      <w:pPr>
        <w:pStyle w:val="BodyText"/>
      </w:pPr>
      <w:r>
        <w:t xml:space="preserve">It changed. They rolled on. I drove home.</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2026-09-06T12:43:07Z</dcterms:created>
  <dcterms:modified xsi:type="dcterms:W3CDTF">2026-09-06T12:43:07Z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