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moving too fast, wired on meth or something close to it, his eyes stretched wide and his whole body carrying the unstable energy of someone who might come apart without warning.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She learned Spanish from soap operas, built a life in the middle of Mexico City, and chose him even when the people who loved her most questioned the decision. She always made her own way. Chris and I were born from that courage.</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Richardo everywhere, going with him to buy gum.</w:t>
      </w:r>
    </w:p>
    <w:p>
      <w:pPr>
        <w:pStyle w:val="BodyText"/>
      </w:pPr>
      <w:r>
        <w:t xml:space="preserve">I remember going to Richardo’s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had a job playing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2026-07-21T19:52:05Z</dcterms:created>
  <dcterms:modified xsi:type="dcterms:W3CDTF">2026-07-21T19:52:05Z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