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didn’t tell anyone until the writing of this book. Not my wife, not a sponsor, not a priest. I carried it out of shame, and the longer I kept it hidden, the harder it got to say. I’m not sure I even let myself remember it straight. How far down I’d gone, how easily I went back — none of it fully landed until I had to look at it with the lights on, one page at a time.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2026-07-20T19:38:58Z</dcterms:created>
  <dcterms:modified xsi:type="dcterms:W3CDTF">2026-07-20T19:38:58Z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