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moving too fast, wired on meth or something close to it, his eyes stretched wide and his whole body carrying the unstable energy of someone who might come apart without warning.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She learned Spanish from soap operas, built a life in the middle of Mexico City, and chose him even when the people who loved her most questioned the decision. She always made her own way. Chris and I were born from that courage.</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Richardo’s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papa.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controlled. After where I’d come from, that kind of quiet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different bars now,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When I got into Miami of Ohio, part of me hoped Whitey would land there too, an easy way to carry the friendship forward. He chose Bates College, up in Maine, instead. I was disappointed. I’d wanted the thing to have a next chapter, and what we got was a fork in the road. And there was my neighbor Rich. We were always into something together. He came to wrestling late, not until high school, and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 He was the jokester of the family, the kind of class clown who never really grew out of it.</w:t>
      </w:r>
    </w:p>
    <w:p>
      <w:pPr>
        <w:pStyle w:val="BodyText"/>
      </w:pPr>
      <w:r>
        <w:t xml:space="preserve">He’s also the one in the family who keeps all the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once you were grown, showing up and making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and Joel and Jon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2026-07-21T21:11:12Z</dcterms:created>
  <dcterms:modified xsi:type="dcterms:W3CDTF">2026-07-21T21:11:12Z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