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Cover design: Grace Nobrega</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My grandmother mostly stayed in the background; when someone was watching us, it was usually my aunts Nancey or Terry, or my grandfather.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grandmother at Hope College in Michigan, a Christian school, where she played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They say there are always signs, and here was mine — the first time I ever drank, and about as loud as a sign gets. My body didn’t take alcohol the way the other kids’ did. No easy buzz, no loosening up. Straight to gone. Years later, in the rooms, I’d learn they call that an allergy: the alcoholic’s body reacting to a drink in a way a normal drinker’s never will. Mine announced itself at seventeen, in the back of a limo on the way to prom. I just didn’t want to know what it meant yet.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detour"/>
    <w:p>
      <w:pPr>
        <w:pStyle w:val="Heading2"/>
      </w:pPr>
      <w:r>
        <w:rPr>
          <w:bCs/>
          <w:b/>
        </w:rPr>
        <w:t xml:space="preserve">The Detour</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been around death for years. I knew the word. I did not know the thing. Now I did. Grief. It has a weight you cannot describe to anyone who hasn’t carried it. I carried it.</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thing I should have said a hundred more times when he was alive to hear it.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who gave the cardinal its sky.</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2026-07-18T20:32:54Z</dcterms:created>
  <dcterms:modified xsi:type="dcterms:W3CDTF">2026-07-18T20:32:54Z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