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B6B2" w14:textId="77777777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t>Bonytail (GIEL) Off-Channel Model: Data Support for the Proposed IPM Critique</w:t>
      </w:r>
    </w:p>
    <w:p w14:paraId="17518D47" w14:textId="77777777" w:rsidR="00A35E6D" w:rsidRPr="00A35E6D" w:rsidRDefault="00A35E6D" w:rsidP="00A35E6D">
      <w:r w:rsidRPr="00A35E6D">
        <w:t>Figures illustrating data limitations referenced in the critique of the proposed Bonytail integrated population model</w:t>
      </w:r>
    </w:p>
    <w:p w14:paraId="2EA5A2A1" w14:textId="77777777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t>Purpose</w:t>
      </w:r>
    </w:p>
    <w:p w14:paraId="34D4FAE6" w14:textId="77777777" w:rsidR="00A35E6D" w:rsidRDefault="00A35E6D" w:rsidP="00A35E6D">
      <w:r w:rsidRPr="00A35E6D">
        <w:t xml:space="preserve">This report </w:t>
      </w:r>
      <w:r>
        <w:t>uses</w:t>
      </w:r>
      <w:r w:rsidRPr="00A35E6D">
        <w:t xml:space="preserve"> figures built from data and model results already on hand — the completed GIEL-only fit (data/</w:t>
      </w:r>
      <w:proofErr w:type="spellStart"/>
      <w:r w:rsidRPr="00A35E6D">
        <w:t>BWRobustDesign_MCMC_giel.RData</w:t>
      </w:r>
      <w:proofErr w:type="spellEnd"/>
      <w:r w:rsidRPr="00A35E6D">
        <w:t>), the underlying PIT-scan and netting records (data/</w:t>
      </w:r>
      <w:proofErr w:type="spellStart"/>
      <w:r w:rsidRPr="00A35E6D">
        <w:t>ReportingData.RData</w:t>
      </w:r>
      <w:proofErr w:type="spellEnd"/>
      <w:r w:rsidRPr="00A35E6D">
        <w:t>), the recorded die-off windows (data/BWDieOffEvents.csv), and a scratch recruit-density build (data/</w:t>
      </w:r>
      <w:proofErr w:type="spellStart"/>
      <w:r w:rsidRPr="00A35E6D">
        <w:t>GIEL_scratch_data.RData</w:t>
      </w:r>
      <w:proofErr w:type="spellEnd"/>
      <w:r w:rsidRPr="00A35E6D">
        <w:t>) from the 2026-09-10 GIEL structure assessment — to illustrate, rather than just assert, where the current data support a simpler model than the one proposed. </w:t>
      </w:r>
    </w:p>
    <w:p w14:paraId="235CB90E" w14:textId="4CCB785A" w:rsidR="00A35E6D" w:rsidRPr="00A35E6D" w:rsidRDefault="00A35E6D" w:rsidP="00A35E6D">
      <w:r w:rsidRPr="00A35E6D">
        <w:rPr>
          <w:b/>
          <w:bCs/>
        </w:rPr>
        <w:t>No new model fitting was performed for this report</w:t>
      </w:r>
      <w:r w:rsidRPr="00A35E6D">
        <w:t>; every figure below is derived from existing fits or directly from the raw monitoring data.</w:t>
      </w:r>
    </w:p>
    <w:p w14:paraId="6506B6A0" w14:textId="77777777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t>1. Where the proposed IPM aligns with the data: ponds sustain fish, open water does not</w:t>
      </w:r>
    </w:p>
    <w:p w14:paraId="4D98F76F" w14:textId="216EFB6F" w:rsidR="00A35E6D" w:rsidRPr="00A35E6D" w:rsidRDefault="00A35E6D" w:rsidP="00A35E6D">
      <w:r w:rsidRPr="00A35E6D">
        <w:t>The proposed IPM’s split between an off-channel (OCH) state-space model and an open-water CJS survival model reflects a real contrast in this system: bonytail persist for years in the IPCA ponds, subject to occasional catastrophic but discrete losses, whereas Lake Havasu open-water releases showed rapid, near-total mortality regardless of predator assemblage or fish size. The known-alive trajectories below show the pond-side half of that contrast directly: </w:t>
      </w:r>
      <w:r w:rsidRPr="00A35E6D">
        <w:rPr>
          <w:b/>
          <w:bCs/>
        </w:rPr>
        <w:t>Pond 6 (IP6) tracks a fairly stable seasonal pattern with no catastrophic event, while Ponds 2 and 5 (IP2, IP5) each show a single sharp, well-defined collapse</w:t>
      </w:r>
      <w:r w:rsidRPr="00A35E6D">
        <w:t> matching the pump-failure die-offs documented in Marsh et al. (2024) and pinned to specific months here.</w:t>
      </w:r>
    </w:p>
    <w:p w14:paraId="005938F7" w14:textId="325E43AB" w:rsidR="00A35E6D" w:rsidRPr="00A35E6D" w:rsidRDefault="00A35E6D" w:rsidP="00A35E6D">
      <w:r w:rsidRPr="00A35E6D">
        <w:lastRenderedPageBreak/>
        <w:drawing>
          <wp:inline distT="0" distB="0" distL="0" distR="0" wp14:anchorId="1B9F30A1" wp14:editId="056FF031">
            <wp:extent cx="5943600" cy="3962400"/>
            <wp:effectExtent l="0" t="0" r="0" b="0"/>
            <wp:docPr id="1720647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B14D3" w14:textId="77777777" w:rsidR="00A35E6D" w:rsidRPr="00A35E6D" w:rsidRDefault="00A35E6D" w:rsidP="00A35E6D">
      <w:r w:rsidRPr="00A35E6D">
        <w:t>Figure 1: Daily known-alive bonytail count by pond, 2017-2025. Shaded bands mark the confirmed die-off windows (IP5 Jan-Sep 2020, IP2 Jan-Jul 2022) pinned from this same known-alive series. IP6 has no recorded die-off.</w:t>
      </w:r>
    </w:p>
    <w:p w14:paraId="4A8ACC3A" w14:textId="77777777" w:rsidR="00A35E6D" w:rsidRPr="00A35E6D" w:rsidRDefault="00A35E6D" w:rsidP="00A35E6D">
      <w:r w:rsidRPr="00A35E6D">
        <w:t>The proposed IPM’s own text attributes both events to well-pump failure (“operational, not environmental”), and our </w:t>
      </w:r>
      <w:proofErr w:type="spellStart"/>
      <w:r w:rsidRPr="00A35E6D">
        <w:t>dE</w:t>
      </w:r>
      <w:proofErr w:type="spellEnd"/>
      <w:r w:rsidRPr="00A35E6D">
        <w:t>/</w:t>
      </w:r>
      <w:proofErr w:type="spellStart"/>
      <w:r w:rsidRPr="00A35E6D">
        <w:t>Evt</w:t>
      </w:r>
      <w:proofErr w:type="spellEnd"/>
      <w:r w:rsidRPr="00A35E6D">
        <w:t xml:space="preserve"> mechanism (a dated, per-pond survival offset) is a direct, explicit implementation of that same idea, in place of a diffuse year random effect. Sections 2c and the model-vs-floor comparison below examine how well that explicit mechanism </w:t>
      </w:r>
      <w:proofErr w:type="gramStart"/>
      <w:r w:rsidRPr="00A35E6D">
        <w:t>actually recovers</w:t>
      </w:r>
      <w:proofErr w:type="gramEnd"/>
      <w:r w:rsidRPr="00A35E6D">
        <w:t xml:space="preserve"> the true magnitude of these crashes.</w:t>
      </w:r>
    </w:p>
    <w:p w14:paraId="49C9B2BF" w14:textId="77777777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t>2. Where the proposed IPM’s complexity outruns the data</w:t>
      </w:r>
    </w:p>
    <w:p w14:paraId="59DB35E2" w14:textId="77777777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t>2a. Stage structure: the data support one size break, not three or four</w:t>
      </w:r>
    </w:p>
    <w:p w14:paraId="49AEF98A" w14:textId="77777777" w:rsidR="00A35E6D" w:rsidRPr="00A35E6D" w:rsidRDefault="00A35E6D" w:rsidP="00A35E6D">
      <w:r w:rsidRPr="00A35E6D">
        <w:t>The proposed IPM carries multiple early wild sub-stages (S1-2, S2-4, S3-4, S4-4), an architecture that mirrors the three-stage density-dependent model built for razorback sucker at Yuma Cove. For bonytail, re-sighting of netting-tagged juveniles (n = 1,438, IP2/IP5/IP6, 2017-2024) shows a single break, at the pond model’s existing 250 mm stage threshold — not a second break near 350 mm as in the razorback sucker model.</w:t>
      </w:r>
    </w:p>
    <w:p w14:paraId="58A80630" w14:textId="5127C448" w:rsidR="00A35E6D" w:rsidRPr="00A35E6D" w:rsidRDefault="00A35E6D" w:rsidP="00A35E6D">
      <w:r w:rsidRPr="00A35E6D">
        <w:lastRenderedPageBreak/>
        <w:drawing>
          <wp:inline distT="0" distB="0" distL="0" distR="0" wp14:anchorId="4519477C" wp14:editId="7941174C">
            <wp:extent cx="5486400" cy="3657600"/>
            <wp:effectExtent l="0" t="0" r="0" b="0"/>
            <wp:docPr id="7952601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23E39" w14:textId="77777777" w:rsidR="00A35E6D" w:rsidRPr="00A35E6D" w:rsidRDefault="00A35E6D" w:rsidP="00A35E6D">
      <w:r w:rsidRPr="00A35E6D">
        <w:t>Figure 2: Proportion of netting-tagged bonytail juveniles re-sighted &gt;=365 days later, by size class at tagging (n = 1,438). Error bars are 95% Wilson confidence intervals; point size scales with sample size.</w:t>
      </w:r>
    </w:p>
    <w:p w14:paraId="0E19E1EF" w14:textId="77777777" w:rsidR="00A35E6D" w:rsidRPr="00A35E6D" w:rsidRDefault="00A35E6D" w:rsidP="00A35E6D">
      <w:r w:rsidRPr="00A35E6D">
        <w:t>Both the 250-349 mm and &gt;=350 mm classes clearly out-survive the &lt;250 mm class, but a logistic model controlling for stocking/tagging-cohort year (FY) finds no difference between them (log-odds difference = 0.13 +/- 0.21, z = 0.64, p = 0.52). A three- or four-stage architecture built around finer size distinctions above 250 mm is not identifiable from this re-sighting pattern.</w:t>
      </w:r>
    </w:p>
    <w:p w14:paraId="11FD3D68" w14:textId="77777777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t>2b. Covariate complexity vs. data sufficiency</w:t>
      </w:r>
    </w:p>
    <w:p w14:paraId="3B297F5F" w14:textId="77777777" w:rsidR="00A35E6D" w:rsidRPr="00A35E6D" w:rsidRDefault="00A35E6D" w:rsidP="00A35E6D">
      <w:r w:rsidRPr="00A35E6D">
        <w:t>Two separate lines of evidence argue against adding covariate slopes (environmental, density, or otherwise) to bonytail survival right now: recruitment is too sparse and skewed to fit a density-dependent term, and even the pond-seasons without any density signal show wide, unpatterned swings in survival that a shared covariate slope would need to explain.</w:t>
      </w:r>
    </w:p>
    <w:p w14:paraId="42082904" w14:textId="77C7E985" w:rsidR="00A35E6D" w:rsidRPr="00A35E6D" w:rsidRDefault="00A35E6D" w:rsidP="00A35E6D">
      <w:r w:rsidRPr="00A35E6D">
        <w:lastRenderedPageBreak/>
        <w:drawing>
          <wp:inline distT="0" distB="0" distL="0" distR="0" wp14:anchorId="75D84652" wp14:editId="13171687">
            <wp:extent cx="5943600" cy="2971800"/>
            <wp:effectExtent l="0" t="0" r="0" b="0"/>
            <wp:docPr id="16019405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A5F8F" w14:textId="77777777" w:rsidR="00A35E6D" w:rsidRPr="00A35E6D" w:rsidRDefault="00A35E6D" w:rsidP="00A35E6D">
      <w:r w:rsidRPr="00A35E6D">
        <w:t>Figure 3: Recruit density (untagged juveniles handled at fall netting, per acre) by pond and season. Most pond-seasons show zero or near-zero recruit density; IP2’s FY2024 value (24.1/acre) is an order of magnitude above every other observation.</w:t>
      </w:r>
    </w:p>
    <w:p w14:paraId="64D0DA5F" w14:textId="5EC36F90" w:rsidR="00A35E6D" w:rsidRPr="00A35E6D" w:rsidRDefault="00A35E6D" w:rsidP="00A35E6D">
      <w:r w:rsidRPr="00A35E6D">
        <w:lastRenderedPageBreak/>
        <w:drawing>
          <wp:inline distT="0" distB="0" distL="0" distR="0" wp14:anchorId="050EB5AC" wp14:editId="0C2767BD">
            <wp:extent cx="5943600" cy="4622800"/>
            <wp:effectExtent l="0" t="0" r="0" b="6350"/>
            <wp:docPr id="2158293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5E28" w14:textId="77777777" w:rsidR="00A35E6D" w:rsidRPr="00A35E6D" w:rsidRDefault="00A35E6D" w:rsidP="00A35E6D">
      <w:r w:rsidRPr="00A35E6D">
        <w:t>Figure 4: Empirical annual adult survival floor (fraction of adults known alive at one October census re-sighted after the next; open circles) vs. the fitted joint robust-design model’s event-adjusted realized annual survival (filled points with 95% credible interval). Red shading marks the two confirmed die-off pond-seasons (IP5 FY2020, IP2 FY2022).</w:t>
      </w:r>
    </w:p>
    <w:p w14:paraId="7B66F0BB" w14:textId="77777777" w:rsidR="00A35E6D" w:rsidRPr="00A35E6D" w:rsidRDefault="00A35E6D" w:rsidP="00A35E6D">
      <w:r w:rsidRPr="00A35E6D">
        <w:t xml:space="preserve">Two patterns stand out. First, restricted to the </w:t>
      </w:r>
      <w:proofErr w:type="gramStart"/>
      <w:r w:rsidRPr="00A35E6D">
        <w:t>19 non-event</w:t>
      </w:r>
      <w:proofErr w:type="gramEnd"/>
      <w:r w:rsidRPr="00A35E6D">
        <w:t xml:space="preserve"> pond-seasons with at least 15 known-alive fish, empirical survival floors range from about 0.05 to 0.92 with no visible trend by year or pond — the kind of unpatterned variation a single shared covariate slope is unlikely to resolve, consistent with the recruit-density figure showing almost no continuous gradient to regress against in the first place. Second, the model-vs-floor comparison shows the die-off mechanism working well when the event window spans most of a season (IP5 FY2020: model 4.1% vs. floor 0.0%) but under-correcting when the window covers only part of a season (IP2 FY2022: model 8.9% vs. floor 0.0%) — the same partial-season under-correction documented for razorback sucker’s analogous IP1 FY2022 crash. A year-level random effect, as the proposed IPM uses, would face the same partial-season smoothing problem and arguably has less structure than our explicit </w:t>
      </w:r>
      <w:proofErr w:type="spellStart"/>
      <w:r w:rsidRPr="00A35E6D">
        <w:t>dE</w:t>
      </w:r>
      <w:proofErr w:type="spellEnd"/>
      <w:r w:rsidRPr="00A35E6D">
        <w:t> term to resist it.</w:t>
      </w:r>
    </w:p>
    <w:p w14:paraId="372E2BB9" w14:textId="77777777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lastRenderedPageBreak/>
        <w:t>2c. Origin-based survival: architecture, not sample size, is the current limit</w:t>
      </w:r>
    </w:p>
    <w:p w14:paraId="0150205E" w14:textId="46D392D8" w:rsidR="00A35E6D" w:rsidRPr="00A35E6D" w:rsidRDefault="00A35E6D" w:rsidP="00A35E6D">
      <w:r w:rsidRPr="00A35E6D">
        <w:drawing>
          <wp:inline distT="0" distB="0" distL="0" distR="0" wp14:anchorId="205C40F5" wp14:editId="7A5916FB">
            <wp:extent cx="5486400" cy="3657600"/>
            <wp:effectExtent l="0" t="0" r="0" b="0"/>
            <wp:docPr id="13368892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6668D" w14:textId="77777777" w:rsidR="00A35E6D" w:rsidRPr="00A35E6D" w:rsidRDefault="00A35E6D" w:rsidP="00A35E6D">
      <w:r w:rsidRPr="00A35E6D">
        <w:t>Figure 5: Sample size of tagged bonytail by origin and pond. ‘Netting-tagged’ fish (origin = tagged at a subsequent netting event, the closest available proxy for recruited/wild-hatched fish) are common at all three ponds.</w:t>
      </w:r>
    </w:p>
    <w:p w14:paraId="7CC91619" w14:textId="77777777" w:rsidR="00A35E6D" w:rsidRPr="00A35E6D" w:rsidRDefault="00A35E6D" w:rsidP="00A35E6D">
      <w:r w:rsidRPr="00A35E6D">
        <w:t>Sample sizes for a stocked-vs-wild survival contrast are not the limiting factor (IP2: 857 netting-tagged vs. 599 stocked; IP5: 159 vs. 600; IP6: 423 vs. 300). What is missing is the model term itself: the fitted joint robust-design model only lets origin affect a temporary post-release survival offset (</w:t>
      </w:r>
      <w:proofErr w:type="spellStart"/>
      <w:r w:rsidRPr="00A35E6D">
        <w:t>b_post</w:t>
      </w:r>
      <w:proofErr w:type="spellEnd"/>
      <w:r w:rsidRPr="00A35E6D">
        <w:t>, active for a few months after tagging); established adult survival (</w:t>
      </w:r>
      <w:proofErr w:type="spellStart"/>
      <w:r w:rsidRPr="00A35E6D">
        <w:t>lphiA</w:t>
      </w:r>
      <w:proofErr w:type="spellEnd"/>
      <w:r w:rsidRPr="00A35E6D">
        <w:t>) has no origin split at all. The proposed IPM’s stocked-vs-wild split on established survival is conceptually reasonable and the raw sample sizes could support a first attempt, but it requires a model extension we have not yet built, and — given how thin and event-dominated the non-crash seasons already are (§2b) — any such split should be checked for robustness rather than assumed informative.</w:t>
      </w:r>
    </w:p>
    <w:p w14:paraId="7B713FC8" w14:textId="77777777" w:rsidR="00FD5CEF" w:rsidRDefault="00FD5CEF">
      <w:pPr>
        <w:rPr>
          <w:b/>
          <w:bCs/>
        </w:rPr>
      </w:pPr>
      <w:r>
        <w:rPr>
          <w:b/>
          <w:bCs/>
        </w:rPr>
        <w:br w:type="page"/>
      </w:r>
    </w:p>
    <w:p w14:paraId="4961B198" w14:textId="02BF2EC0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lastRenderedPageBreak/>
        <w:t>3. Summary comparison</w:t>
      </w:r>
    </w:p>
    <w:tbl>
      <w:tblPr>
        <w:tblW w:w="0" w:type="auto"/>
        <w:tblBorders>
          <w:top w:val="single" w:sz="6" w:space="0" w:color="D3D3D4"/>
          <w:bottom w:val="single" w:sz="6" w:space="0" w:color="D3D3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1"/>
        <w:gridCol w:w="2624"/>
        <w:gridCol w:w="2646"/>
        <w:gridCol w:w="2733"/>
      </w:tblGrid>
      <w:tr w:rsidR="00A35E6D" w:rsidRPr="00A35E6D" w14:paraId="2CC7DF8D" w14:textId="77777777" w:rsidTr="00A35E6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E6FF71" w14:textId="77777777" w:rsidR="00A35E6D" w:rsidRPr="00A35E6D" w:rsidRDefault="00A35E6D" w:rsidP="00A35E6D">
            <w:pPr>
              <w:rPr>
                <w:b/>
                <w:bCs/>
              </w:rPr>
            </w:pPr>
            <w:r w:rsidRPr="00A35E6D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E2691F" w14:textId="77777777" w:rsidR="00A35E6D" w:rsidRPr="00A35E6D" w:rsidRDefault="00A35E6D" w:rsidP="00A35E6D">
            <w:pPr>
              <w:rPr>
                <w:b/>
                <w:bCs/>
              </w:rPr>
            </w:pPr>
            <w:r w:rsidRPr="00A35E6D">
              <w:rPr>
                <w:b/>
                <w:bCs/>
              </w:rPr>
              <w:t>Your GIEL OCH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E78048" w14:textId="77777777" w:rsidR="00A35E6D" w:rsidRPr="00A35E6D" w:rsidRDefault="00A35E6D" w:rsidP="00A35E6D">
            <w:pPr>
              <w:rPr>
                <w:b/>
                <w:bCs/>
              </w:rPr>
            </w:pPr>
            <w:r w:rsidRPr="00A35E6D">
              <w:rPr>
                <w:b/>
                <w:bCs/>
              </w:rPr>
              <w:t>Proposed BONY IPM (OCH component)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B3148EE" w14:textId="77777777" w:rsidR="00A35E6D" w:rsidRPr="00A35E6D" w:rsidRDefault="00A35E6D" w:rsidP="00A35E6D">
            <w:pPr>
              <w:rPr>
                <w:b/>
                <w:bCs/>
              </w:rPr>
            </w:pPr>
            <w:r w:rsidRPr="00A35E6D">
              <w:rPr>
                <w:b/>
                <w:bCs/>
              </w:rPr>
              <w:t>What Havasu shows</w:t>
            </w:r>
          </w:p>
        </w:tc>
      </w:tr>
      <w:tr w:rsidR="00A35E6D" w:rsidRPr="00A35E6D" w14:paraId="15F09FAB" w14:textId="77777777" w:rsidTr="00A35E6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AD7FF44" w14:textId="77777777" w:rsidR="00A35E6D" w:rsidRPr="00A35E6D" w:rsidRDefault="00A35E6D" w:rsidP="00A35E6D">
            <w:r w:rsidRPr="00A35E6D">
              <w:t>Stage structure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687B6B" w14:textId="77777777" w:rsidR="00A35E6D" w:rsidRPr="00A35E6D" w:rsidRDefault="00A35E6D" w:rsidP="00A35E6D">
            <w:r w:rsidRPr="00A35E6D">
              <w:t>2 stages (&lt;=250 mm, &gt;250 mm); single size break, confirmed by re-sighting (Fig. 2)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5375B1" w14:textId="77777777" w:rsidR="00A35E6D" w:rsidRPr="00A35E6D" w:rsidRDefault="00A35E6D" w:rsidP="00A35E6D">
            <w:r w:rsidRPr="00A35E6D">
              <w:t>4 stages with early wild sub-stages (S1-2, S2-4, S3-4, S4-4)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6D6B529" w14:textId="77777777" w:rsidR="00A35E6D" w:rsidRPr="00A35E6D" w:rsidRDefault="00A35E6D" w:rsidP="00A35E6D">
            <w:r w:rsidRPr="00A35E6D">
              <w:t>Telemetry + PIT could not identify a bare survival curve</w:t>
            </w:r>
          </w:p>
        </w:tc>
      </w:tr>
      <w:tr w:rsidR="00A35E6D" w:rsidRPr="00A35E6D" w14:paraId="7CDBAA17" w14:textId="77777777" w:rsidTr="00A35E6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B2A1852" w14:textId="77777777" w:rsidR="00A35E6D" w:rsidRPr="00A35E6D" w:rsidRDefault="00A35E6D" w:rsidP="00A35E6D">
            <w:r w:rsidRPr="00A35E6D">
              <w:t>Density effects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8F3DA48" w14:textId="77777777" w:rsidR="00A35E6D" w:rsidRPr="00A35E6D" w:rsidRDefault="00A35E6D" w:rsidP="00A35E6D">
            <w:r w:rsidRPr="00A35E6D">
              <w:t>No density-dependent survival/growth; recruit density near-zero in most pond-seasons (Fig. 3)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09C37D" w14:textId="77777777" w:rsidR="00A35E6D" w:rsidRPr="00A35E6D" w:rsidRDefault="00A35E6D" w:rsidP="00A35E6D">
            <w:r w:rsidRPr="00A35E6D">
              <w:t>Environmental covariates on phi^4 and F; implicitly assumes smooth gradients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79D6940" w14:textId="77777777" w:rsidR="00A35E6D" w:rsidRPr="00A35E6D" w:rsidRDefault="00A35E6D" w:rsidP="00A35E6D">
            <w:r w:rsidRPr="00A35E6D">
              <w:t>Survival near-zero in open water; mortality is a ceiling, not a gradient</w:t>
            </w:r>
          </w:p>
        </w:tc>
      </w:tr>
      <w:tr w:rsidR="00A35E6D" w:rsidRPr="00A35E6D" w14:paraId="1774E486" w14:textId="77777777" w:rsidTr="00A35E6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193F80" w14:textId="77777777" w:rsidR="00A35E6D" w:rsidRPr="00A35E6D" w:rsidRDefault="00A35E6D" w:rsidP="00A35E6D">
            <w:r w:rsidRPr="00A35E6D">
              <w:t>Die-offs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DA5D0D0" w14:textId="77777777" w:rsidR="00A35E6D" w:rsidRPr="00A35E6D" w:rsidRDefault="00A35E6D" w:rsidP="00A35E6D">
            <w:r w:rsidRPr="00A35E6D">
              <w:t xml:space="preserve">Explicit </w:t>
            </w:r>
            <w:proofErr w:type="spellStart"/>
            <w:r w:rsidRPr="00A35E6D">
              <w:t>dE</w:t>
            </w:r>
            <w:proofErr w:type="spellEnd"/>
            <w:r w:rsidRPr="00A35E6D">
              <w:t xml:space="preserve"> event terms with dated windows; partial-season windows under-correct (Fig. 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D48A810" w14:textId="77777777" w:rsidR="00A35E6D" w:rsidRPr="00A35E6D" w:rsidRDefault="00A35E6D" w:rsidP="00A35E6D">
            <w:r w:rsidRPr="00A35E6D">
              <w:t>2020/2022 IPCA die-offs treated as year random-effect shocks, operational not environmental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76421E3" w14:textId="77777777" w:rsidR="00A35E6D" w:rsidRPr="00A35E6D" w:rsidRDefault="00A35E6D" w:rsidP="00A35E6D">
            <w:r w:rsidRPr="00A35E6D">
              <w:t>Catastrophic, rapid losses; no environmental covariate successfully modeled</w:t>
            </w:r>
          </w:p>
        </w:tc>
      </w:tr>
      <w:tr w:rsidR="00A35E6D" w:rsidRPr="00A35E6D" w14:paraId="0BBE69B6" w14:textId="77777777" w:rsidTr="00A35E6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A6FA119" w14:textId="77777777" w:rsidR="00A35E6D" w:rsidRPr="00A35E6D" w:rsidRDefault="00A35E6D" w:rsidP="00A35E6D">
            <w:r w:rsidRPr="00A35E6D">
              <w:t>Covariates (general)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78433AB" w14:textId="77777777" w:rsidR="00A35E6D" w:rsidRPr="00A35E6D" w:rsidRDefault="00A35E6D" w:rsidP="00A35E6D">
            <w:r w:rsidRPr="00A35E6D">
              <w:t>None yet on survival; empirical floors swing widely with no smooth pattern (Fig. 4)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5BEFD11" w14:textId="77777777" w:rsidR="00A35E6D" w:rsidRPr="00A35E6D" w:rsidRDefault="00A35E6D" w:rsidP="00A35E6D">
            <w:r w:rsidRPr="00A35E6D">
              <w:t>Environmental (DO, temp, water level) on phi^4/F; release/habitat on phi^3; shared slopes across ponds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AFF35C3" w14:textId="77777777" w:rsidR="00A35E6D" w:rsidRPr="00A35E6D" w:rsidRDefault="00A35E6D" w:rsidP="00A35E6D">
            <w:r w:rsidRPr="00A35E6D">
              <w:t>Attempted CJS/Barker with time-varying survival/detection failed - parameters nearly 0 to 1</w:t>
            </w:r>
          </w:p>
        </w:tc>
      </w:tr>
      <w:tr w:rsidR="00A35E6D" w:rsidRPr="00A35E6D" w14:paraId="35B80B96" w14:textId="77777777" w:rsidTr="00A35E6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2EA25DD" w14:textId="77777777" w:rsidR="00A35E6D" w:rsidRPr="00A35E6D" w:rsidRDefault="00A35E6D" w:rsidP="00A35E6D">
            <w:r w:rsidRPr="00A35E6D">
              <w:t>Origin split (stocked vs. wild)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BBB5259" w14:textId="77777777" w:rsidR="00A35E6D" w:rsidRPr="00A35E6D" w:rsidRDefault="00A35E6D" w:rsidP="00A35E6D">
            <w:r w:rsidRPr="00A35E6D">
              <w:t>Not implemented on established survival; sample sizes sufficient but architecture missing (Fig. 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C52E99D" w14:textId="77777777" w:rsidR="00A35E6D" w:rsidRPr="00A35E6D" w:rsidRDefault="00A35E6D" w:rsidP="00A35E6D">
            <w:r w:rsidRPr="00A35E6D">
              <w:t>Explicit origin-based survival split by pond for phi^4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D8F83E" w14:textId="77777777" w:rsidR="00A35E6D" w:rsidRPr="00A35E6D" w:rsidRDefault="00A35E6D" w:rsidP="00A35E6D">
            <w:r w:rsidRPr="00A35E6D">
              <w:t>Open water: almost no long-term survivors; origin contrasts likely swamped by predation</w:t>
            </w:r>
          </w:p>
        </w:tc>
      </w:tr>
    </w:tbl>
    <w:p w14:paraId="629FF440" w14:textId="77777777" w:rsidR="00FD5CEF" w:rsidRDefault="00FD5CEF" w:rsidP="00A35E6D">
      <w:pPr>
        <w:rPr>
          <w:b/>
          <w:bCs/>
        </w:rPr>
      </w:pPr>
    </w:p>
    <w:p w14:paraId="5D471C08" w14:textId="77777777" w:rsidR="00FD5CEF" w:rsidRDefault="00FD5CEF">
      <w:pPr>
        <w:rPr>
          <w:b/>
          <w:bCs/>
        </w:rPr>
      </w:pPr>
      <w:r>
        <w:rPr>
          <w:b/>
          <w:bCs/>
        </w:rPr>
        <w:br w:type="page"/>
      </w:r>
    </w:p>
    <w:p w14:paraId="70A141A5" w14:textId="2D6A2CD8" w:rsidR="00A35E6D" w:rsidRPr="00A35E6D" w:rsidRDefault="00A35E6D" w:rsidP="00A35E6D">
      <w:pPr>
        <w:rPr>
          <w:b/>
          <w:bCs/>
        </w:rPr>
      </w:pPr>
      <w:r w:rsidRPr="00A35E6D">
        <w:rPr>
          <w:b/>
          <w:bCs/>
        </w:rPr>
        <w:lastRenderedPageBreak/>
        <w:t>4. Bottom line</w:t>
      </w:r>
    </w:p>
    <w:p w14:paraId="75605412" w14:textId="77777777" w:rsidR="00A35E6D" w:rsidRPr="00A35E6D" w:rsidRDefault="00A35E6D" w:rsidP="00A35E6D">
      <w:r w:rsidRPr="00A35E6D">
        <w:t>The figures above show, rather than assert, why the proposed IPM’s stage structure, covariate stack, and origin split are ahead of what current GIEL data can identify: a single, well-supported size break; recruit density that is zero in most pond-seasons with one extreme outlier; empirical survival that swings widely between “clean” pond-seasons with no discernible pattern; a die-off mechanism that works well only when its window spans most of a season; and an origin split that is conceptually sound but not yet built into the fitted model. None of this required a new model run — all of it comes from the completed GIEL-only fit and the underlying monitoring records. The existing 2-stage joint robust-design model, with explicit dated die-off terms, remains the better match to what the data currently support; the highest-value next steps are pond-specific (e.g., checking IP2 for additional unflagged mortality) rather than adding covariate layers.</w:t>
      </w:r>
    </w:p>
    <w:p w14:paraId="6DC52992" w14:textId="77777777" w:rsidR="00BC3FDD" w:rsidRDefault="00BC3FDD"/>
    <w:sectPr w:rsidR="00BC3F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E6D"/>
    <w:rsid w:val="0017451D"/>
    <w:rsid w:val="0098293A"/>
    <w:rsid w:val="00A35E6D"/>
    <w:rsid w:val="00BC3FDD"/>
    <w:rsid w:val="00FD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73EE7"/>
  <w15:chartTrackingRefBased/>
  <w15:docId w15:val="{EE13C24E-9729-46C7-A9FE-A7213886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1329</Words>
  <Characters>7578</Characters>
  <Application>Microsoft Office Word</Application>
  <DocSecurity>0</DocSecurity>
  <Lines>63</Lines>
  <Paragraphs>17</Paragraphs>
  <ScaleCrop>false</ScaleCrop>
  <Company/>
  <LinksUpToDate>false</LinksUpToDate>
  <CharactersWithSpaces>8890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Kesner</dc:creator>
  <cp:keywords/>
  <dc:description/>
  <cp:lastModifiedBy>Brian Kesner</cp:lastModifiedBy>
  <cp:revision>2</cp:revision>
  <dcterms:created xsi:type="dcterms:W3CDTF">2026-09-10T22:50:00Z</dcterms:created>
  <dcterms:modified xsi:type="dcterms:W3CDTF">2026-09-10T22:55:00Z</dcterms:modified>
</cp:coreProperties>
</file>