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0029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R$ 2.100,00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 e cem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Assessoria Contábil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6.2.2.1.1.33.90.35.001 - Assessoria e consultoria técnica ou jurídica,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EDUARDO HENRIQUE RODRIGUES DE LIMA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31 de janeiro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013103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