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0035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MARLA MACIEL DO VALE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555.786.000.007.602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