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4A"/>
          <w:sz w:val="52"/>
          <w:szCs w:val="52"/>
        </w:rPr>
        <w:t xml:space="preserve">MoJ DQ Accelerator</w:t>
      </w:r>
    </w:p>
    <w:p>
      <w:pPr>
        <w:spacing w:before="120"/>
        <w:jc w:val="center"/>
      </w:pPr>
      <w:r>
        <w:rPr>
          <w:color w:val="0F6E6E"/>
          <w:sz w:val="32"/>
          <w:szCs w:val="32"/>
        </w:rPr>
        <w:t xml:space="preserve">Functional &amp; Business Requirements (MoSCoW)</w:t>
      </w:r>
    </w:p>
    <w:p>
      <w:pPr>
        <w:spacing w:before="240"/>
        <w:jc w:val="center"/>
      </w:pPr>
      <w:r>
        <w:rPr>
          <w:i/>
          <w:iCs/>
          <w:color w:val="5A5A5A"/>
          <w:sz w:val="24"/>
          <w:szCs w:val="24"/>
        </w:rPr>
        <w:t xml:space="preserve">Draft v0.1 — for review and refinement</w:t>
      </w:r>
    </w:p>
    <w:p>
      <w:pPr>
        <w:spacing w:before="900"/>
        <w:jc w:val="center"/>
      </w:pPr>
      <w:r>
        <w:rPr>
          <w:sz w:val="22"/>
          <w:szCs w:val="22"/>
        </w:rPr>
        <w:t xml:space="preserve">Prepared for: Cognizant — MoJ Data Management Practice</w:t>
      </w:r>
    </w:p>
    <w:p>
      <w:pPr>
        <w:spacing w:before="80"/>
        <w:jc w:val="center"/>
      </w:pPr>
      <w:r>
        <w:rPr>
          <w:sz w:val="22"/>
          <w:szCs w:val="22"/>
        </w:rPr>
        <w:t xml:space="preserve">Author: Andre Ballista</w:t>
      </w:r>
    </w:p>
    <w:p>
      <w:pPr>
        <w:spacing w:before="80"/>
        <w:jc w:val="center"/>
      </w:pPr>
      <w:r>
        <w:rPr>
          <w:sz w:val="22"/>
          <w:szCs w:val="22"/>
        </w:rPr>
        <w:t xml:space="preserve">Date: 17 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Purpose &amp; Reading Notes</w:t>
      </w:r>
    </w:p>
    <w:p>
      <w:pPr>
        <w:spacing w:after="160" w:line="276"/>
      </w:pPr>
      <w:r>
        <w:t xml:space="preserve">Purpose: This document captures the complete functional scope currently delivered by the Data Quality (DQ) Accelerator proof-of-concept, expressed as vendor-neutral WHAT-requirements, so that future re-development can be competitively specified.</w:t>
      </w:r>
    </w:p>
    <w:p>
      <w:pPr>
        <w:spacing w:after="120" w:line="276"/>
      </w:pPr>
      <w:r>
        <w:rPr>
          <w:b/>
          <w:bCs/>
        </w:rPr>
        <w:t xml:space="preserve">Reading notes: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Requirements state what must be achieved, not how — implementation approach is left to the responding vendor.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Where the current POC uses a manual or external workaround (to sidestep a technical blocker in the POC environment — e.g. no direct database access, no in-tool AI agent, no in-tool SQL execution), the requirement below is written for the target live-integrated capability, with the current-state limitation noted for context only. Vendors should not treat the POC’s workaround as the specification.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MoSCoW: Must = non-negotiable for parity/viability; Should = high value, expected unless good reason not to; Could = desirable enhancement, nice-to-have.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Organisational &amp; Accountability Model</w:t>
      </w:r>
    </w:p>
    <w:p>
      <w:pPr>
        <w:spacing w:after="160" w:line="276"/>
      </w:pPr>
      <w:r>
        <w:rPr>
          <w:i/>
          <w:iCs/>
          <w:color w:val="5A5A5A"/>
        </w:rPr>
        <w:t xml:space="preserve">Covers executive agencies, directorates, data owners, data stewards, and data patrons, and the relationships between them.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Represent the MoJ organisational hierarchy (executive agency → directorate) and associate every Critical Data Set (CDS) with a directorate and, by extension, an executive agency.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Record a named, accountable Data Owner per CDS (name, title, contact, assignment start date).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Record one or more named Data Stewards per CDS, with a role type (e.g. primary / deputy / technical) and assignment start date.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a many-to-many relationship between CDS and Data Stewards (stewardship), including reassignment over time.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a CDS/CDE to have no assigned steward yet (unassigned/gap state) without breaking other functionality.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Record a senior/business sponsor role above the Data Owner (e.g. SIRO) where one exists.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Record a “data patron” (senior sponsor at agency level) distinct from operational Data Owner/Steward.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Track history of ownership/stewardship changes (who held the role, when it changed), not just the current holder.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Surface, per organisational unit, a rollup of how many CDS/CDEs, profiling activities, and rules sit beneath it (as currently shown via counter pills at agency/directorate level).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Allow bulk import/sync of organisational structure and role holders from an authoritative HR/directory source.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Notify a Data Owner/Steward automatically when a role handover is recorded.</w:t>
      </w:r>
    </w:p>
    <w:p>
      <w:pPr>
        <w:pStyle w:val="Heading1"/>
        <w:spacing w:after="160" w:before="360"/>
      </w:pPr>
      <w:r>
        <w:t xml:space="preserve">2. Critical Data Set (CDS) &amp; Critical Data Element (CDE) Management</w:t>
      </w:r>
    </w:p>
    <w:p>
      <w:pPr>
        <w:spacing w:after="160" w:line="276"/>
      </w:pPr>
      <w:r>
        <w:rPr>
          <w:i/>
          <w:iCs/>
          <w:color w:val="5A5A5A"/>
        </w:rPr>
        <w:t xml:space="preserve">Covers the registration and description of CDS/CDEs — the foundation of DQ Framework Stage 1 (Identify/Prioritise).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creation, editing, and retirement (soft-delete via retiring timestamp, not hard delete) of Critical Data Sets.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Capture for each CDS: name, plain-English description, and optional subdivision (e.g. by case type, custody status, region).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creation, editing, and retirement of Critical Data Elements under a parent CDS.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Capture for each CDE its source location: source platform, source system, database, table, and field name(s).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Capture free-text business definition and explanation for each CDE (what it means and why it matters), distinct from its technical name.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Capture any snapshot/filter logic required to isolate the relevant records for a CDE (e.g. “latest status per case”).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Prevent duplicate/near-duplicate CDS or CDE registration without human awareness (i.e. surface likely duplicates for review).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Distinguish CDS/CDEs already available on the organisation’s analytical platform from those not yet onboarded there, and track any related onboarding plan/owner.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recording whether a data dictionary exists for a CDS/CDE, where it is stored, and how current it is.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recording pre-existing DQ checks (manual or automated) that predate the Accelerator, including which quality dimensions they cover.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a discovery/intake workflow (structured questions covering identification, ownership, stewardship, technical location, AP availability, documentation, existing controls, criticality) that produces a CDS/CDE record directly, rather than requiring separate manual re-entry of workshop notes.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Auto-suggest CDE candidates from a connected source schema (see Section 8) rather than fully manual entry.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Maintain a lightweight ERD/visual view of a CDS’s CDEs and their source tables.</w:t>
      </w:r>
    </w:p>
    <w:p>
      <w:pPr>
        <w:pStyle w:val="Heading1"/>
        <w:spacing w:after="160" w:before="360"/>
      </w:pPr>
      <w:r>
        <w:t xml:space="preserve">3. Criticality &amp; Weighting Framework</w:t>
      </w:r>
    </w:p>
    <w:p>
      <w:pPr>
        <w:spacing w:after="160" w:line="276"/>
      </w:pPr>
      <w:r>
        <w:rPr>
          <w:i/>
          <w:iCs/>
          <w:color w:val="5A5A5A"/>
        </w:rPr>
        <w:t xml:space="preserve">Covers scoring of how important a CDE is, and the organisational weighting of quality dimensions.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Assign each CDE to one or more criticality groups (e.g. statutory, operational, MI/reporting).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a criticality level/score per CDE-criticality-group combination, and an overall criticality score derived from it.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configurable weighting of criticality groups per executive agency (criticality group weight).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configurable weighting of quality dimensions (completeness, accuracy, timeliness, validity, consistency, etc.) per executive agency (quality dimension weight).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Allow an authorised user to edit weights for multiple dimensions/groups for an agency in a single action, rather than one field at a time.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Make the effect of a weighting change visible before it is committed (e.g. preview of resulting criticality scores).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weighting profiles that can be cloned across agencies or versioned over time.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Provide guidance/benchmarks for reasonable weight ranges based on framework guidance.</w:t>
      </w:r>
    </w:p>
    <w:p>
      <w:pPr>
        <w:pStyle w:val="Heading1"/>
        <w:spacing w:after="160" w:before="360"/>
      </w:pPr>
      <w:r>
        <w:t xml:space="preserve">4. Data Quality Rule Definition &amp; Management</w:t>
      </w:r>
    </w:p>
    <w:p>
      <w:pPr>
        <w:spacing w:after="160" w:line="276"/>
      </w:pPr>
      <w:r>
        <w:rPr>
          <w:i/>
          <w:iCs/>
          <w:color w:val="5A5A5A"/>
        </w:rPr>
        <w:t xml:space="preserve">Covers DQ Framework Stage 3 (Define Rules) — the core rule authoring and allocation workflow.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creation, editing, and retirement of DQ rules, each with: name, plain-English explanation, and the logic used to evaluate it.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Require every rule to be traceable to a stated business impact or compensating behaviour (i.e. the rule record must capture why it matters, not only what it checks) — generic type/format checks with no stated business rationale must not be permitted as a rule on their own.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a rule to be allocated to one or more CDEs, recording which quality dimension it evaluates against for that allocation.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Detect and flag potential conflicts or overlaps between rules allocated to the same CDE, before allocation is finalised.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a rule to be flagged as automated vs. manual, and to record whether/where executable logic (e.g. SQL) exists for it.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tolerance/threshold values (“bumper value”) and evaluation frequency per rule allocation.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a rule library/catalogue that can be browsed and reused across CDEs and CDSs, not only created bespoke per CDE.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versioning of a rule’s logic over time, retaining history of what changed and why.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Allow rules to be authored collaboratively with sign-off (e.g. proposed → reviewed → approved) rather than immediately live on creation.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Suggest existing library rules that are likely applicable to a newly registered CDE, based on its definition/type.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parameterised rule templates (one logical rule definition reused with different thresholds per agency/CDS).</w:t>
      </w:r>
    </w:p>
    <w:p>
      <w:pPr>
        <w:pStyle w:val="Heading1"/>
        <w:spacing w:after="160" w:before="360"/>
      </w:pPr>
      <w:r>
        <w:t xml:space="preserve">5. AI-Assisted Rule Generation &amp; Business Knowledge Extraction</w:t>
      </w:r>
    </w:p>
    <w:p>
      <w:pPr>
        <w:spacing w:after="160" w:line="276"/>
      </w:pPr>
      <w:r>
        <w:rPr>
          <w:i/>
          <w:iCs/>
          <w:color w:val="5A5A5A"/>
        </w:rPr>
        <w:t xml:space="preserve">Covers use of AI to turn source material (meeting discussion, existing documentation) into rule candidates. This is the clearest area where the POC used a workaround (external Copilot, manual copy/paste) that should not be replicated as the target architecture.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native, in-tool AI assistance for generating rule candidates from structured input (e.g. a CDE’s definition, known business impacts, existing controls) — without requiring the user to leave the tool, manually copy a prompt into a separate application, and manually paste a result back in.</w:t>
      </w:r>
      <w:r>
        <w:rPr>
          <w:i/>
          <w:iCs/>
          <w:color w:val="5A5A5A"/>
          <w:sz w:val="20"/>
          <w:szCs w:val="20"/>
        </w:rPr>
        <w:t xml:space="preserve">  [Current-state limitation for context: the POC currently drives this via a manually-copied prompt into desktop Microsoft Copilot, with the JSON response manually pasted back — a workaround for the POC’s lack of an integrated AI agent connection, not a design intent.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Ensure AI-generated rule candidates are clearly distinguished from manually authored rules until a human reviews and accepts them.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Prevent the AI from fabricating business impacts, thresholds, or facts not present in the source material — every AI-suggested rule must be traceable to a specific statement in its source input, or explicitly flagged as a gap.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a per-statement confidence/provenance tagging scheme (e.g. confirmed / needs review / explicit gap) rather than a single disclaimer for an entire AI output.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Require explicit human review and acceptance before an AI-suggested rule becomes a live, active DQ rule.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Allow ingestion of meeting transcripts or similar unstructured discussion records as a source for rule-candidate extraction, with the same provenance/confidence tagging.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a second-stage transformation that converts an approved rule candidate directly into a fully-formed rule record in the tool, without manual re-keying.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Allow the AI extraction/generation step to work within realistic input size limits for real MoJ transcripts (i.e. handle long transcripts, not just short excerpts).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AI-assisted hypothesis generation for root cause analysis of open DQ issues (see Section 9).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Allow the AI model/provider used for this capability to be configurable, to avoid vendor lock-in to a single AI product.</w:t>
      </w:r>
    </w:p>
    <w:p>
      <w:pPr>
        <w:pStyle w:val="Heading1"/>
        <w:spacing w:after="160" w:before="360"/>
      </w:pPr>
      <w:r>
        <w:t xml:space="preserve">6. Data Profiling</w:t>
      </w:r>
    </w:p>
    <w:p>
      <w:pPr>
        <w:spacing w:after="160" w:line="276"/>
      </w:pPr>
      <w:r>
        <w:rPr>
          <w:i/>
          <w:iCs/>
          <w:color w:val="5A5A5A"/>
        </w:rPr>
        <w:t xml:space="preserve">Covers DQ Framework Stage 2 (Profiling). This is the second major workaround area in the POC.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native, in-tool profiling of a CDE’s source field(s) — retrieving live statistics (e.g. completeness, distinct value counts, format patterns, min/max, outliers) directly from the connected source system — without requiring the user to manually run profiling elsewhere and import results.</w:t>
      </w:r>
      <w:r>
        <w:rPr>
          <w:i/>
          <w:iCs/>
          <w:color w:val="5A5A5A"/>
          <w:sz w:val="20"/>
          <w:szCs w:val="20"/>
        </w:rPr>
        <w:t xml:space="preserve">  [Current-state limitation for context: the POC has no direct database connection, so profiling results are recorded/imported manually rather than generated live in-tool.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Display profiling status/results at the CDE level, and roll up profiling coverage at the CDS and organisational level (as currently shown via profiling badges/counter pills).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Allow profiling to be re-run on demand and track when a CDE was last profiled.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scheduling of recurring profiling runs rather than only on-demand runs.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Surface profiling findings that suggest a new candidate rule (e.g. an unexpected value pattern), feeding into Sections 4/5.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comparative profiling (current run vs. previous run) to highlight drift in a field’s shape over time.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profiling across multiple environments (dev/test/prod) with clear labelling of which is authoritative.</w:t>
      </w:r>
    </w:p>
    <w:p>
      <w:pPr>
        <w:pStyle w:val="Heading1"/>
        <w:spacing w:after="160" w:before="360"/>
      </w:pPr>
      <w:r>
        <w:t xml:space="preserve">7. Rule Execution, Tolerance Monitoring &amp; Reporting</w:t>
      </w:r>
    </w:p>
    <w:p>
      <w:pPr>
        <w:spacing w:after="160" w:line="276"/>
      </w:pPr>
      <w:r>
        <w:rPr>
          <w:i/>
          <w:iCs/>
          <w:color w:val="5A5A5A"/>
        </w:rPr>
        <w:t xml:space="preserve">Covers DQ Framework Stages 4–5 (Set Tolerances, Monitor/Report). A third workaround area: the POC cannot execute or validate SQL rule logic itself.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native, in-tool execution of a rule’s logic directly against the connected source system, returning measured pass/fail/failure-count results — without requiring the SQL to be validated or run manually outside the tool.</w:t>
      </w:r>
      <w:r>
        <w:rPr>
          <w:i/>
          <w:iCs/>
          <w:color w:val="5A5A5A"/>
          <w:sz w:val="20"/>
          <w:szCs w:val="20"/>
        </w:rPr>
        <w:t xml:space="preserve">  [Current-state limitation for context: the POC stores rule SQL as text/sample only; it is not executed or validated in-tool.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Record each measurement run’s results (sample count, failure count, run timestamp) against the specific rule allocation it evaluated.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Compare measured results against the rule’s configured tolerance to derive a pass/fail/at-risk status per CDE.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a central DQ Issue Management view showing all CDEs currently breaching tolerance, with enough context to triage (which rule, which dimension, which CDS/owner/steward).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Track run control metadata (last successful run, run cadence, run source) so stale or failed automated runs are visible, not silently missed.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a fleet-level, stage-based dashboard view showing counts of CDEs at each DQ Framework stage, drillable down to individual CDEs.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Visually distinguish CDEs/issues that have been reopened after previously passing, from those failing for the first time.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Resolve the reported stage/status of a CDE with multiple rules using a defined, consistent rule (e.g. weakest-link across its rules), applied automatically rather than manually.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root cause analysis workflows against an open issue, including linking related issues across CDEs that may share a cause.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configurable notification/escalation when a CDE breaches tolerance or an issue remains open beyond a defined period.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Provide exportable reporting (e.g. for governance boards) summarising DQ posture by agency/directorate/criticality group.</w:t>
      </w:r>
    </w:p>
    <w:p>
      <w:pPr>
        <w:pStyle w:val="Heading1"/>
        <w:spacing w:after="160" w:before="360"/>
      </w:pPr>
      <w:r>
        <w:t xml:space="preserve">8. Data Connectivity &amp; Source System Integration</w:t>
      </w:r>
    </w:p>
    <w:p>
      <w:pPr>
        <w:spacing w:after="160" w:line="276"/>
      </w:pPr>
      <w:r>
        <w:rPr>
          <w:i/>
          <w:iCs/>
          <w:color w:val="5A5A5A"/>
        </w:rPr>
        <w:t xml:space="preserve">This category consolidates the connectivity requirement that underpins Sections 5–7, since it is foundational rather than a single feature.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Connect directly and securely to the organisation’s data source systems (and/or analytical platform) to read schema, sample data, and execute profiling and rule-validation queries live.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the range of source platforms in scope for MoJ CDS onboarding (e.g. on-prem SQL, Analytical Platform/cloud data warehouse), not a single fixed platform.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Enforce that connectivity respects existing access controls and security classifications on source data (i.e. the tool must not bypass or weaken source-system permissions).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read-only connectivity by default, with any write-back (e.g. issue status back to a source system) explicit and controlled.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Make clear, per CDE, which environment (dev/test/prod) a given connection and its results relate to.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a connector/plugin model so new source systems can be added without re-architecting the core tool.</w:t>
      </w:r>
    </w:p>
    <w:p>
      <w:pPr>
        <w:pStyle w:val="Heading1"/>
        <w:spacing w:after="160" w:before="360"/>
      </w:pPr>
      <w:r>
        <w:t xml:space="preserve">9. Multi-User Collaboration, Data Sync &amp; Access Control</w:t>
      </w:r>
    </w:p>
    <w:p>
      <w:pPr>
        <w:spacing w:after="160" w:line="276"/>
      </w:pPr>
      <w:r>
        <w:rPr>
          <w:i/>
          <w:iCs/>
          <w:color w:val="5A5A5A"/>
        </w:rPr>
        <w:t xml:space="preserve">Covers concurrent use by multiple Data Stewards and role-based permissions. The POC’s manual master-JSON export/import sync is a workaround for lack of a shared backend; the target requirement is live shared state.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multiple Data Stewards/users working concurrently on different CDS/CDEs without manually exchanging files to stay in sync.</w:t>
      </w:r>
      <w:r>
        <w:rPr>
          <w:i/>
          <w:iCs/>
          <w:color w:val="5A5A5A"/>
          <w:sz w:val="20"/>
          <w:szCs w:val="20"/>
        </w:rPr>
        <w:t xml:space="preserve">  [Current-state limitation for context: the POC’s Phase 1.5 sync relies on stewards exporting/importing a shared master JSON file to reconcile changes.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a distinct identity per user/steward, so every change is attributable to the person who made it.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Support a read-only viewing mode for users who should see but not edit data (distinct from full edit access), consistently applied across every screen/action, not per-button.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Prevent silent overwrite of one user’s changes by another; conflicting concurrent edits must be detected and surfaced, not silently lost.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Support role-based permissions beyond a simple edit/view split (e.g. steward vs. owner vs. read-only reviewer vs. administrator), where warranted by the organisational model in Section 1.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Maintain a change/audit history sufficient to answer “who changed what, and when” for any record.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offline working with automatic reconciliation on reconnect, for users with intermittent connectivity.</w:t>
      </w:r>
    </w:p>
    <w:p>
      <w:pPr>
        <w:pStyle w:val="Heading1"/>
        <w:spacing w:after="160" w:before="360"/>
      </w:pPr>
      <w:r>
        <w:t xml:space="preserve">10. Navigation, User Experience &amp; Framework Alignment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Organise the tool’s navigation and workflows around the five-stage DQ Framework cycle (Identify/Prioritise → Profiling → Define Rules → Set Tolerances → Monitor/Report), so a user can always tell which stage a given CDE/CDS is in.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an organisational view (by agency/directorate) showing CDS/CDE/profiling/rule coverage counts, to support prioritisation decisions.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Provide a central, dedicated view for open DQ issues (see Section 7) as the primary “day-to-day” screen for stewards.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Provide a persistent indicator of framework-stage progress visible throughout the tool, not only on a dedicated dashboard page.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Group left-hand navigation by framework stage rather than purely by data entity.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Provide a dedicated detail view for a single CDE consolidating its definition, criticality, profiling status, rules, and current issue state in one place.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configurable/personalised views per role (e.g. a steward’s default view differs from an owner’s or an executive’s).</w:t>
      </w:r>
    </w:p>
    <w:p>
      <w:pPr>
        <w:pStyle w:val="Heading1"/>
        <w:spacing w:after="160" w:before="360"/>
      </w:pPr>
      <w:r>
        <w:t xml:space="preserve">11. Non-Functional Requirements</w:t>
      </w:r>
    </w:p>
    <w:p>
      <w:pPr>
        <w:pStyle w:val="Heading2"/>
        <w:spacing w:after="100" w:before="200"/>
      </w:pPr>
      <w:r>
        <w:t xml:space="preserve">Must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Be usable by non-technical Data Stewards without requiring them to write or read code/SQL directly.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Retire (soft-delete) rather than hard-delete organisational, CDS/CDE, and rule records, preserving historical traceability.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9E2A2A"/>
        </w:rPr>
        <w:t xml:space="preserve">MUST  </w:t>
      </w:r>
      <w:r>
        <w:t xml:space="preserve">Operate within MoJ’s security and data-handling requirements for the classifications of data in scope.</w:t>
      </w:r>
    </w:p>
    <w:p>
      <w:pPr>
        <w:pStyle w:val="Heading2"/>
        <w:spacing w:after="100" w:before="200"/>
      </w:pPr>
      <w:r>
        <w:t xml:space="preserve">Should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Be maintainable by a team without deep specialist knowledge of a single bespoke framework (i.e. avoid architectural choices that create a single-point-of-expertise dependency).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B8860B"/>
        </w:rPr>
        <w:t xml:space="preserve">SHOULD  </w:t>
      </w:r>
      <w:r>
        <w:t xml:space="preserve">Scale to the full expected volume of CDS/CDEs across HMPPS, HMCTS, and MoJ Digital, not only POC-scale data.</w:t>
      </w:r>
    </w:p>
    <w:p>
      <w:pPr>
        <w:pStyle w:val="Heading2"/>
        <w:spacing w:after="100" w:before="200"/>
      </w:pPr>
      <w:r>
        <w:t xml:space="preserve">Could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  <w:color w:val="2E6B34"/>
        </w:rPr>
        <w:t xml:space="preserve">COULD  </w:t>
      </w:r>
      <w:r>
        <w:t xml:space="preserve">Support integration with MoJ’s existing collaboration/ticketing tooling for issue follow-up (explicitly out of scope for the current POC’s own backlog, but noted here as a possible future integration point).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Notes for Review</w:t>
      </w:r>
    </w:p>
    <w:p>
      <w:pPr>
        <w:pStyle w:val="ListParagraph"/>
        <w:numPr>
          <w:ilvl w:val="0"/>
          <w:numId w:val="4"/>
        </w:numPr>
        <w:spacing w:after="140" w:line="276"/>
      </w:pPr>
      <w:r>
        <w:t xml:space="preserve">Sections 5–8 are the priority review area — they translate the POC’s necessary workarounds (external Copilot, manual profiling import, non-executable rule SQL, manual JSON sync) into live-integration requirements. Please sanity-check the Must/Should split here in particular, since these are the most architecturally significant changes from the POC.</w:t>
      </w:r>
    </w:p>
    <w:p>
      <w:pPr>
        <w:pStyle w:val="ListParagraph"/>
        <w:numPr>
          <w:ilvl w:val="0"/>
          <w:numId w:val="4"/>
        </w:numPr>
        <w:spacing w:after="140" w:line="276"/>
      </w:pPr>
      <w:r>
        <w:t xml:space="preserve">Some POC backlog items not yet built in the POC (weights bulk-edit UI, CDE detail view, dashboard stage view, root cause analysis, rule library polish) have been included above as requirements since they represent intended scope, not just POC gaps — flag any that should be excluded.</w:t>
      </w:r>
    </w:p>
    <w:p>
      <w:pPr>
        <w:pStyle w:val="ListParagraph"/>
        <w:numPr>
          <w:ilvl w:val="0"/>
          <w:numId w:val="4"/>
        </w:numPr>
        <w:spacing w:after="140" w:line="276"/>
      </w:pPr>
      <w:r>
        <w:t xml:space="preserve">Trello integration and Phase 3 shared-JSON-on-SharePoint were explicitly deprioritised in the POC; they’ve been given a light touch (Could, or omitted) here — confirm that’s still the right call for a re-development.</w:t>
      </w:r>
    </w:p>
    <w:p>
      <w:pPr>
        <w:pStyle w:val="ListParagraph"/>
        <w:numPr>
          <w:ilvl w:val="0"/>
          <w:numId w:val="4"/>
        </w:numPr>
        <w:spacing w:after="140" w:line="276"/>
      </w:pPr>
      <w:r>
        <w:t xml:space="preserve">Nothing here yet addresses non-MoJ-specific things like hosting model, licensing, or support SLAs — flag if those should be added as a further section before this goes to vendors.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MoJ DQ Accelerator — MoSCoW Requirements (Draft v0.1)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6E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MoJ DQ Accelerator - Functional &amp; Business Requirements (MoSCoW)</dc:title>
  <dc:creator>Andre Ballista</dc:creator>
  <cp:lastModifiedBy>Un-named</cp:lastModifiedBy>
  <cp:revision>1</cp:revision>
  <dcterms:created xsi:type="dcterms:W3CDTF">2026-08-17T13:07:57.865Z</dcterms:created>
  <dcterms:modified xsi:type="dcterms:W3CDTF">2026-08-17T13:07:57.881Z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