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0B2545"/>
          <w:sz w:val="68"/>
        </w:rPr>
        <w:t>HAL</w:t>
      </w:r>
    </w:p>
    <w:p>
      <w:pPr>
        <w:jc w:val="center"/>
      </w:pPr>
      <w:r>
        <w:rPr>
          <w:b/>
          <w:color w:val="2E74B5"/>
          <w:sz w:val="36"/>
        </w:rPr>
        <w:t>BOOK II — ARCHITECTURE SPECIFICATION</w:t>
      </w:r>
    </w:p>
    <w:p>
      <w:pPr>
        <w:jc w:val="center"/>
      </w:pPr>
      <w:r>
        <w:rPr>
          <w:color w:val="5B6573"/>
          <w:sz w:val="26"/>
        </w:rPr>
        <w:t>v0.4 • Chapters 1–4 complete</w:t>
      </w:r>
    </w:p>
    <w:p>
      <w:r>
        <w:br w:type="page"/>
      </w:r>
    </w:p>
    <w:p>
      <w:pPr>
        <w:pStyle w:val="Heading1"/>
      </w:pPr>
      <w:r>
        <w:t>Book II Charter</w:t>
      </w:r>
    </w:p>
    <w:p>
      <w:r>
        <w:t>Book I defines what must remain true. Book II defines the technical architecture that fulfills those constitutional requirements. Book II is governed by Book I; no architectural decision may weaken or contradict a constitutional rule.</w:t>
      </w:r>
    </w:p>
    <w:p>
      <w:pPr>
        <w:pStyle w:val="Heading2"/>
      </w:pPr>
      <w:r>
        <w:t>Current Contents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Chapter</w:t>
            </w:r>
          </w:p>
        </w:tc>
        <w:tc>
          <w:tcPr>
            <w:tcW w:type="dxa" w:w="3216"/>
            <w:shd w:fill="E8EEF5"/>
            <w:tcMar>
              <w:top w:w="80" w:type="dxa"/>
              <w:start w:w="120" w:type="dxa"/>
              <w:bottom w:w="80" w:type="dxa"/>
              <w:end w:w="120" w:type="dxa"/>
            </w:tcMar>
          </w:tcPr>
          <w:p>
            <w:r>
              <w:rPr>
                <w:b/>
              </w:rPr>
              <w:t>Status</w:t>
            </w:r>
          </w:p>
        </w:tc>
        <w:tc>
          <w:tcPr>
            <w:tcW w:type="dxa" w:w="3216"/>
            <w:shd w:fill="E8EEF5"/>
            <w:tcMar>
              <w:top w:w="80" w:type="dxa"/>
              <w:start w:w="120" w:type="dxa"/>
              <w:bottom w:w="80" w:type="dxa"/>
              <w:end w:w="120" w:type="dxa"/>
            </w:tcMar>
          </w:tcPr>
          <w:p>
            <w:r>
              <w:rPr>
                <w:b/>
              </w:rPr>
              <w:t>Scope</w:t>
            </w:r>
          </w:p>
        </w:tc>
      </w:tr>
      <w:tr>
        <w:tc>
          <w:tcPr>
            <w:tcW w:type="dxa" w:w="3216"/>
            <w:vAlign w:val="center"/>
            <w:tcMar>
              <w:top w:w="80" w:type="dxa"/>
              <w:start w:w="120" w:type="dxa"/>
              <w:bottom w:w="80" w:type="dxa"/>
              <w:end w:w="120" w:type="dxa"/>
            </w:tcMar>
          </w:tcPr>
          <w:p>
            <w:r>
              <w:t>1 — Overall System Architecture</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System planes, authority boundaries, state ownership, trust boundaries, and end-to-end flow.</w:t>
            </w:r>
          </w:p>
        </w:tc>
      </w:tr>
      <w:tr>
        <w:tc>
          <w:tcPr>
            <w:tcW w:type="dxa" w:w="3216"/>
            <w:vAlign w:val="center"/>
            <w:tcMar>
              <w:top w:w="80" w:type="dxa"/>
              <w:start w:w="120" w:type="dxa"/>
              <w:bottom w:w="80" w:type="dxa"/>
              <w:end w:w="120" w:type="dxa"/>
            </w:tcMar>
          </w:tcPr>
          <w:p>
            <w:r>
              <w:t>2 — Runtime Model</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Bootstrap, lifecycle, modes, supervision, degradation, shutdown, and recovery.</w:t>
            </w:r>
          </w:p>
        </w:tc>
      </w:tr>
      <w:tr>
        <w:tc>
          <w:tcPr>
            <w:tcW w:type="dxa" w:w="3216"/>
            <w:vAlign w:val="center"/>
            <w:tcMar>
              <w:top w:w="80" w:type="dxa"/>
              <w:start w:w="120" w:type="dxa"/>
              <w:bottom w:w="80" w:type="dxa"/>
              <w:end w:w="120" w:type="dxa"/>
            </w:tcMar>
          </w:tcPr>
          <w:p>
            <w:r>
              <w:t>3 — Constitutional Kernel</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Protected root state, authorization, protected commit, and recovery authority.</w:t>
            </w:r>
          </w:p>
        </w:tc>
      </w:tr>
      <w:tr>
        <w:tc>
          <w:tcPr>
            <w:tcW w:type="dxa" w:w="3216"/>
            <w:vAlign w:val="center"/>
            <w:tcMar>
              <w:top w:w="80" w:type="dxa"/>
              <w:start w:w="120" w:type="dxa"/>
              <w:bottom w:w="80" w:type="dxa"/>
              <w:end w:w="120" w:type="dxa"/>
            </w:tcMar>
          </w:tcPr>
          <w:p>
            <w:r>
              <w:t>4 — Identity and Continuity</w:t>
            </w:r>
          </w:p>
        </w:tc>
        <w:tc>
          <w:tcPr>
            <w:tcW w:type="dxa" w:w="3216"/>
            <w:vAlign w:val="center"/>
            <w:tcMar>
              <w:top w:w="80" w:type="dxa"/>
              <w:start w:w="120" w:type="dxa"/>
              <w:bottom w:w="80" w:type="dxa"/>
              <w:end w:w="120" w:type="dxa"/>
            </w:tcMar>
          </w:tcPr>
          <w:p>
            <w:r>
              <w:t>Complete</w:t>
            </w:r>
          </w:p>
        </w:tc>
        <w:tc>
          <w:tcPr>
            <w:tcW w:type="dxa" w:w="3216"/>
            <w:vAlign w:val="center"/>
            <w:tcMar>
              <w:top w:w="80" w:type="dxa"/>
              <w:start w:w="120" w:type="dxa"/>
              <w:bottom w:w="80" w:type="dxa"/>
              <w:end w:w="120" w:type="dxa"/>
            </w:tcMar>
          </w:tcPr>
          <w:p>
            <w:r>
              <w:t>Universal identity, sessions, delegation, health, quarantine, and continuity.</w:t>
            </w:r>
          </w:p>
        </w:tc>
      </w:tr>
      <w:tr>
        <w:tc>
          <w:tcPr>
            <w:tcW w:type="dxa" w:w="3216"/>
            <w:vAlign w:val="center"/>
            <w:tcMar>
              <w:top w:w="80" w:type="dxa"/>
              <w:start w:w="120" w:type="dxa"/>
              <w:bottom w:w="80" w:type="dxa"/>
              <w:end w:w="120" w:type="dxa"/>
            </w:tcMar>
          </w:tcPr>
          <w:p>
            <w:r>
              <w:t>5 — Authority and Delegation</w:t>
            </w:r>
          </w:p>
        </w:tc>
        <w:tc>
          <w:tcPr>
            <w:tcW w:type="dxa" w:w="3216"/>
            <w:vAlign w:val="center"/>
            <w:tcMar>
              <w:top w:w="80" w:type="dxa"/>
              <w:start w:w="120" w:type="dxa"/>
              <w:bottom w:w="80" w:type="dxa"/>
              <w:end w:w="120" w:type="dxa"/>
            </w:tcMar>
          </w:tcPr>
          <w:p>
            <w:r>
              <w:t>Next</w:t>
            </w:r>
          </w:p>
        </w:tc>
        <w:tc>
          <w:tcPr>
            <w:tcW w:type="dxa" w:w="3216"/>
            <w:vAlign w:val="center"/>
            <w:tcMar>
              <w:top w:w="80" w:type="dxa"/>
              <w:start w:w="120" w:type="dxa"/>
              <w:bottom w:w="80" w:type="dxa"/>
              <w:end w:w="120" w:type="dxa"/>
            </w:tcMar>
          </w:tcPr>
          <w:p>
            <w:r>
              <w:t>Policy-driven authority evaluation, execution envelopes, and protected authorization.</w:t>
            </w:r>
          </w:p>
        </w:tc>
      </w:tr>
    </w:tbl>
    <w:p>
      <w:r>
        <w:br w:type="page"/>
      </w:r>
    </w:p>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authorization, policy issuance and evaluation authority,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&amp;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Primary Constitutional Host and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p>
      <w:r>
        <w:br w:type="page"/>
      </w:r>
    </w:p>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p>
      <w:r>
        <w:br w:type="page"/>
      </w:r>
    </w:p>
    <w:p>
      <w:pPr>
        <w:pStyle w:val="Heading1"/>
      </w:pPr>
      <w:r>
        <w:t>Chapter 3 — Constitutional Kernel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Protected enforcement boundary, root state, kernel contracts, mutation protocol, and recovery authority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 24–29, 35, 38–43, 47–51, 56,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Constitutional Kernel is the smallest HAL subsystem that must remain trustworthy for HAL to preserve constitutional identity. It is not a general-purpose application framework, planner, model host, or database. It holds the authority to establish root identity, evaluate protected policy, validate Owner authorization, preserve protected audit evidence, coordinate irreversible commits, and control recovery admission. Every other service is replaceable; the kernel is deliberately narrow, explicit, and continuously verifiable.</w:t>
      </w:r>
    </w:p>
    <w:p>
      <w:pPr>
        <w:pStyle w:val="Heading2"/>
      </w:pPr>
      <w:r>
        <w:t>2. Design Boundary</w:t>
      </w:r>
    </w:p>
    <w:p>
      <w:r>
        <w:t>The kernel enforces constitutional constraints. Governed services supply reasoning, proposals, evidence, state transformations, and execution results. The kernel decides only whether a protected request has the identity, authority, policy context, evidence, verification, and durable record required to proceed. It does not substitute its own judgment for the Intent, Trust, Planning, or Judgment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Kernel responsibility</w:t>
            </w:r>
          </w:p>
        </w:tc>
        <w:tc>
          <w:tcPr>
            <w:tcW w:type="dxa" w:w="4824"/>
            <w:shd w:fill="E8EEF5"/>
            <w:tcMar>
              <w:top w:w="80" w:type="dxa"/>
              <w:start w:w="120" w:type="dxa"/>
              <w:bottom w:w="80" w:type="dxa"/>
              <w:end w:w="120" w:type="dxa"/>
            </w:tcMar>
          </w:tcPr>
          <w:p>
            <w:r>
              <w:rPr>
                <w:b/>
              </w:rPr>
              <w:t>Explicit non-responsibility</w:t>
            </w:r>
          </w:p>
        </w:tc>
      </w:tr>
      <w:tr>
        <w:tc>
          <w:tcPr>
            <w:tcW w:type="dxa" w:w="4824"/>
            <w:vAlign w:val="center"/>
            <w:tcMar>
              <w:top w:w="80" w:type="dxa"/>
              <w:start w:w="120" w:type="dxa"/>
              <w:bottom w:w="80" w:type="dxa"/>
              <w:end w:w="120" w:type="dxa"/>
            </w:tcMar>
          </w:tcPr>
          <w:p>
            <w:r>
              <w:t>Root identity and trust anchor</w:t>
            </w:r>
          </w:p>
        </w:tc>
        <w:tc>
          <w:tcPr>
            <w:tcW w:type="dxa" w:w="4824"/>
            <w:vAlign w:val="center"/>
            <w:tcMar>
              <w:top w:w="80" w:type="dxa"/>
              <w:start w:w="120" w:type="dxa"/>
              <w:bottom w:w="80" w:type="dxa"/>
              <w:end w:w="120" w:type="dxa"/>
            </w:tcMar>
          </w:tcPr>
          <w:p>
            <w:r>
              <w:t>Natural-language interpretation or personality</w:t>
            </w:r>
          </w:p>
        </w:tc>
      </w:tr>
      <w:tr>
        <w:tc>
          <w:tcPr>
            <w:tcW w:type="dxa" w:w="4824"/>
            <w:vAlign w:val="center"/>
            <w:tcMar>
              <w:top w:w="80" w:type="dxa"/>
              <w:start w:w="120" w:type="dxa"/>
              <w:bottom w:w="80" w:type="dxa"/>
              <w:end w:w="120" w:type="dxa"/>
            </w:tcMar>
          </w:tcPr>
          <w:p>
            <w:r>
              <w:t>Protected policy and authorization evaluation</w:t>
            </w:r>
          </w:p>
        </w:tc>
        <w:tc>
          <w:tcPr>
            <w:tcW w:type="dxa" w:w="4824"/>
            <w:vAlign w:val="center"/>
            <w:tcMar>
              <w:top w:w="80" w:type="dxa"/>
              <w:start w:w="120" w:type="dxa"/>
              <w:bottom w:w="80" w:type="dxa"/>
              <w:end w:w="120" w:type="dxa"/>
            </w:tcMar>
          </w:tcPr>
          <w:p>
            <w:r>
              <w:t>Planning, ranking, or goal selection</w:t>
            </w:r>
          </w:p>
        </w:tc>
      </w:tr>
      <w:tr>
        <w:tc>
          <w:tcPr>
            <w:tcW w:type="dxa" w:w="4824"/>
            <w:vAlign w:val="center"/>
            <w:tcMar>
              <w:top w:w="80" w:type="dxa"/>
              <w:start w:w="120" w:type="dxa"/>
              <w:bottom w:w="80" w:type="dxa"/>
              <w:end w:w="120" w:type="dxa"/>
            </w:tcMar>
          </w:tcPr>
          <w:p>
            <w:r>
              <w:t>Owner Authorization Ceremony validation</w:t>
            </w:r>
          </w:p>
        </w:tc>
        <w:tc>
          <w:tcPr>
            <w:tcW w:type="dxa" w:w="4824"/>
            <w:vAlign w:val="center"/>
            <w:tcMar>
              <w:top w:w="80" w:type="dxa"/>
              <w:start w:w="120" w:type="dxa"/>
              <w:bottom w:w="80" w:type="dxa"/>
              <w:end w:w="120" w:type="dxa"/>
            </w:tcMar>
          </w:tcPr>
          <w:p>
            <w:r>
              <w:t>Model inference or provider routing</w:t>
            </w:r>
          </w:p>
        </w:tc>
      </w:tr>
      <w:tr>
        <w:tc>
          <w:tcPr>
            <w:tcW w:type="dxa" w:w="4824"/>
            <w:vAlign w:val="center"/>
            <w:tcMar>
              <w:top w:w="80" w:type="dxa"/>
              <w:start w:w="120" w:type="dxa"/>
              <w:bottom w:w="80" w:type="dxa"/>
              <w:end w:w="120" w:type="dxa"/>
            </w:tcMar>
          </w:tcPr>
          <w:p>
            <w:r>
              <w:t>Constitutional version and invariant admission</w:t>
            </w:r>
          </w:p>
        </w:tc>
        <w:tc>
          <w:tcPr>
            <w:tcW w:type="dxa" w:w="4824"/>
            <w:vAlign w:val="center"/>
            <w:tcMar>
              <w:top w:w="80" w:type="dxa"/>
              <w:start w:w="120" w:type="dxa"/>
              <w:bottom w:w="80" w:type="dxa"/>
              <w:end w:w="120" w:type="dxa"/>
            </w:tcMar>
          </w:tcPr>
          <w:p>
            <w:r>
              <w:t>Search, retrieval, or knowledge graph maintenance</w:t>
            </w:r>
          </w:p>
        </w:tc>
      </w:tr>
      <w:tr>
        <w:tc>
          <w:tcPr>
            <w:tcW w:type="dxa" w:w="4824"/>
            <w:vAlign w:val="center"/>
            <w:tcMar>
              <w:top w:w="80" w:type="dxa"/>
              <w:start w:w="120" w:type="dxa"/>
              <w:bottom w:w="80" w:type="dxa"/>
              <w:end w:w="120" w:type="dxa"/>
            </w:tcMar>
          </w:tcPr>
          <w:p>
            <w:r>
              <w:t>Protected audit append and evidence binding</w:t>
            </w:r>
          </w:p>
        </w:tc>
        <w:tc>
          <w:tcPr>
            <w:tcW w:type="dxa" w:w="4824"/>
            <w:vAlign w:val="center"/>
            <w:tcMar>
              <w:top w:w="80" w:type="dxa"/>
              <w:start w:w="120" w:type="dxa"/>
              <w:bottom w:w="80" w:type="dxa"/>
              <w:end w:w="120" w:type="dxa"/>
            </w:tcMar>
          </w:tcPr>
          <w:p>
            <w:r>
              <w:t>Direct control of optional capabilities</w:t>
            </w:r>
          </w:p>
        </w:tc>
      </w:tr>
      <w:tr>
        <w:tc>
          <w:tcPr>
            <w:tcW w:type="dxa" w:w="4824"/>
            <w:vAlign w:val="center"/>
            <w:tcMar>
              <w:top w:w="80" w:type="dxa"/>
              <w:start w:w="120" w:type="dxa"/>
              <w:bottom w:w="80" w:type="dxa"/>
              <w:end w:w="120" w:type="dxa"/>
            </w:tcMar>
          </w:tcPr>
          <w:p>
            <w:r>
              <w:t>Commit coordination for protected state</w:t>
            </w:r>
          </w:p>
        </w:tc>
        <w:tc>
          <w:tcPr>
            <w:tcW w:type="dxa" w:w="4824"/>
            <w:vAlign w:val="center"/>
            <w:tcMar>
              <w:top w:w="80" w:type="dxa"/>
              <w:start w:w="120" w:type="dxa"/>
              <w:bottom w:w="80" w:type="dxa"/>
              <w:end w:w="120" w:type="dxa"/>
            </w:tcMar>
          </w:tcPr>
          <w:p>
            <w:r>
              <w:t>Application-specific business logic</w:t>
            </w:r>
          </w:p>
        </w:tc>
      </w:tr>
      <w:tr>
        <w:tc>
          <w:tcPr>
            <w:tcW w:type="dxa" w:w="4824"/>
            <w:vAlign w:val="center"/>
            <w:tcMar>
              <w:top w:w="80" w:type="dxa"/>
              <w:start w:w="120" w:type="dxa"/>
              <w:bottom w:w="80" w:type="dxa"/>
              <w:end w:w="120" w:type="dxa"/>
            </w:tcMar>
          </w:tcPr>
          <w:p>
            <w:r>
              <w:t>Recovery and re-admission authority</w:t>
            </w:r>
          </w:p>
        </w:tc>
        <w:tc>
          <w:tcPr>
            <w:tcW w:type="dxa" w:w="4824"/>
            <w:vAlign w:val="center"/>
            <w:tcMar>
              <w:top w:w="80" w:type="dxa"/>
              <w:start w:w="120" w:type="dxa"/>
              <w:bottom w:w="80" w:type="dxa"/>
              <w:end w:w="120" w:type="dxa"/>
            </w:tcMar>
          </w:tcPr>
          <w:p>
            <w:r>
              <w:t>Silent repair of constitutional state</w:t>
            </w:r>
          </w:p>
        </w:tc>
      </w:tr>
    </w:tbl>
    <w:p>
      <w:pPr>
        <w:pStyle w:val="Heading2"/>
      </w:pPr>
      <w:r>
        <w:t>3. Kernel Root State</w:t>
      </w:r>
    </w:p>
    <w:p>
      <w:r>
        <w:t>Kernel root state is compact, versioned, cryptographically protected, and independently recoverable. It is sufficient to determine which constitutional identity is being restored and whether a proposed protected action is permitted. It never depends on a single model, provider, hardware host, or presentation layer.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Root-state record</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Constitutional Identity Record</w:t>
            </w:r>
          </w:p>
        </w:tc>
        <w:tc>
          <w:tcPr>
            <w:tcW w:type="dxa" w:w="4824"/>
            <w:vAlign w:val="center"/>
            <w:tcMar>
              <w:top w:w="80" w:type="dxa"/>
              <w:start w:w="120" w:type="dxa"/>
              <w:bottom w:w="80" w:type="dxa"/>
              <w:end w:w="120" w:type="dxa"/>
            </w:tcMar>
          </w:tcPr>
          <w:p>
            <w:r>
              <w:t>Stable HAL identity, root public keys, approved recovery roots, and continuity metadata.</w:t>
            </w:r>
          </w:p>
        </w:tc>
      </w:tr>
      <w:tr>
        <w:tc>
          <w:tcPr>
            <w:tcW w:type="dxa" w:w="4824"/>
            <w:vAlign w:val="center"/>
            <w:tcMar>
              <w:top w:w="80" w:type="dxa"/>
              <w:start w:w="120" w:type="dxa"/>
              <w:bottom w:w="80" w:type="dxa"/>
              <w:end w:w="120" w:type="dxa"/>
            </w:tcMar>
          </w:tcPr>
          <w:p>
            <w:r>
              <w:t>Owner Authority Record</w:t>
            </w:r>
          </w:p>
        </w:tc>
        <w:tc>
          <w:tcPr>
            <w:tcW w:type="dxa" w:w="4824"/>
            <w:vAlign w:val="center"/>
            <w:tcMar>
              <w:top w:w="80" w:type="dxa"/>
              <w:start w:w="120" w:type="dxa"/>
              <w:bottom w:w="80" w:type="dxa"/>
              <w:end w:w="120" w:type="dxa"/>
            </w:tcMar>
          </w:tcPr>
          <w:p>
            <w:r>
              <w:t>Exactly one active constitutional Owner identity, protected succession state, and owner-authentication requirements.</w:t>
            </w:r>
          </w:p>
        </w:tc>
      </w:tr>
      <w:tr>
        <w:tc>
          <w:tcPr>
            <w:tcW w:type="dxa" w:w="4824"/>
            <w:vAlign w:val="center"/>
            <w:tcMar>
              <w:top w:w="80" w:type="dxa"/>
              <w:start w:w="120" w:type="dxa"/>
              <w:bottom w:w="80" w:type="dxa"/>
              <w:end w:w="120" w:type="dxa"/>
            </w:tcMar>
          </w:tcPr>
          <w:p>
            <w:r>
              <w:t>Constitution and Invariant Registry</w:t>
            </w:r>
          </w:p>
        </w:tc>
        <w:tc>
          <w:tcPr>
            <w:tcW w:type="dxa" w:w="4824"/>
            <w:vAlign w:val="center"/>
            <w:tcMar>
              <w:top w:w="80" w:type="dxa"/>
              <w:start w:w="120" w:type="dxa"/>
              <w:bottom w:w="80" w:type="dxa"/>
              <w:end w:w="120" w:type="dxa"/>
            </w:tcMar>
          </w:tcPr>
          <w:p>
            <w:r>
              <w:t>Signed constitutional versions, immutable invariant declarations, effective dates, compatibility markers, and amendment lineage.</w:t>
            </w:r>
          </w:p>
        </w:tc>
      </w:tr>
      <w:tr>
        <w:tc>
          <w:tcPr>
            <w:tcW w:type="dxa" w:w="4824"/>
            <w:vAlign w:val="center"/>
            <w:tcMar>
              <w:top w:w="80" w:type="dxa"/>
              <w:start w:w="120" w:type="dxa"/>
              <w:bottom w:w="80" w:type="dxa"/>
              <w:end w:w="120" w:type="dxa"/>
            </w:tcMar>
          </w:tcPr>
          <w:p>
            <w:r>
              <w:t>Protected Policy Registry</w:t>
            </w:r>
          </w:p>
        </w:tc>
        <w:tc>
          <w:tcPr>
            <w:tcW w:type="dxa" w:w="4824"/>
            <w:vAlign w:val="center"/>
            <w:tcMar>
              <w:top w:w="80" w:type="dxa"/>
              <w:start w:w="120" w:type="dxa"/>
              <w:bottom w:w="80" w:type="dxa"/>
              <w:end w:w="120" w:type="dxa"/>
            </w:tcMar>
          </w:tcPr>
          <w:p>
            <w:r>
              <w:t>Active constitutional and protected policies, policy version lineage, and policy-evaluator manifests.</w:t>
            </w:r>
          </w:p>
        </w:tc>
      </w:tr>
      <w:tr>
        <w:tc>
          <w:tcPr>
            <w:tcW w:type="dxa" w:w="4824"/>
            <w:vAlign w:val="center"/>
            <w:tcMar>
              <w:top w:w="80" w:type="dxa"/>
              <w:start w:w="120" w:type="dxa"/>
              <w:bottom w:w="80" w:type="dxa"/>
              <w:end w:w="120" w:type="dxa"/>
            </w:tcMar>
          </w:tcPr>
          <w:p>
            <w:r>
              <w:t>Authorization Ceremony Registry</w:t>
            </w:r>
          </w:p>
        </w:tc>
        <w:tc>
          <w:tcPr>
            <w:tcW w:type="dxa" w:w="4824"/>
            <w:vAlign w:val="center"/>
            <w:tcMar>
              <w:top w:w="80" w:type="dxa"/>
              <w:start w:w="120" w:type="dxa"/>
              <w:bottom w:w="80" w:type="dxa"/>
              <w:end w:w="120" w:type="dxa"/>
            </w:tcMar>
          </w:tcPr>
          <w:p>
            <w:r>
              <w:t>Pending and completed protected authorizations, exact change bindings, expiry, replay protection, and audit references.</w:t>
            </w:r>
          </w:p>
        </w:tc>
      </w:tr>
      <w:tr>
        <w:tc>
          <w:tcPr>
            <w:tcW w:type="dxa" w:w="4824"/>
            <w:vAlign w:val="center"/>
            <w:tcMar>
              <w:top w:w="80" w:type="dxa"/>
              <w:start w:w="120" w:type="dxa"/>
              <w:bottom w:w="80" w:type="dxa"/>
              <w:end w:w="120" w:type="dxa"/>
            </w:tcMar>
          </w:tcPr>
          <w:p>
            <w:r>
              <w:t>Protected Audit Anchor</w:t>
            </w:r>
          </w:p>
        </w:tc>
        <w:tc>
          <w:tcPr>
            <w:tcW w:type="dxa" w:w="4824"/>
            <w:vAlign w:val="center"/>
            <w:tcMar>
              <w:top w:w="80" w:type="dxa"/>
              <w:start w:w="120" w:type="dxa"/>
              <w:bottom w:w="80" w:type="dxa"/>
              <w:end w:w="120" w:type="dxa"/>
            </w:tcMar>
          </w:tcPr>
          <w:p>
            <w:r>
              <w:t>Append-only audit chain roots, checkpoints, witness references, and integrity-verification history.</w:t>
            </w:r>
          </w:p>
        </w:tc>
      </w:tr>
      <w:tr>
        <w:tc>
          <w:tcPr>
            <w:tcW w:type="dxa" w:w="4824"/>
            <w:vAlign w:val="center"/>
            <w:tcMar>
              <w:top w:w="80" w:type="dxa"/>
              <w:start w:w="120" w:type="dxa"/>
              <w:bottom w:w="80" w:type="dxa"/>
              <w:end w:w="120" w:type="dxa"/>
            </w:tcMar>
          </w:tcPr>
          <w:p>
            <w:r>
              <w:t>Recovery Admission Record</w:t>
            </w:r>
          </w:p>
        </w:tc>
        <w:tc>
          <w:tcPr>
            <w:tcW w:type="dxa" w:w="4824"/>
            <w:vAlign w:val="center"/>
            <w:tcMar>
              <w:top w:w="80" w:type="dxa"/>
              <w:start w:w="120" w:type="dxa"/>
              <w:bottom w:w="80" w:type="dxa"/>
              <w:end w:w="120" w:type="dxa"/>
            </w:tcMar>
          </w:tcPr>
          <w:p>
            <w:r>
              <w:t>Trusted recovery material, last verified restore state, emergency restrictions, and re-admission evidence.</w:t>
            </w:r>
          </w:p>
        </w:tc>
      </w:tr>
    </w:tbl>
    <w:p>
      <w:pPr>
        <w:pStyle w:val="Heading2"/>
      </w:pPr>
      <w:r>
        <w:t>4. Kernel Contracts</w:t>
      </w:r>
    </w:p>
    <w:p>
      <w:r>
        <w:t>Kernel interfaces are typed, versioned contracts. A caller submits a command or query under an authenticated service identity. The kernel returns a signed decision, a narrowly scoped capability token, a denial with rationale, or a request for additional evidence or Owner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Contract</w:t>
            </w:r>
          </w:p>
        </w:tc>
        <w:tc>
          <w:tcPr>
            <w:tcW w:type="dxa" w:w="3216"/>
            <w:shd w:fill="E8EEF5"/>
            <w:tcMar>
              <w:top w:w="80" w:type="dxa"/>
              <w:start w:w="120" w:type="dxa"/>
              <w:bottom w:w="80" w:type="dxa"/>
              <w:end w:w="120" w:type="dxa"/>
            </w:tcMar>
          </w:tcPr>
          <w:p>
            <w:r>
              <w:rPr>
                <w:b/>
              </w:rPr>
              <w:t>Primary input</w:t>
            </w:r>
          </w:p>
        </w:tc>
        <w:tc>
          <w:tcPr>
            <w:tcW w:type="dxa" w:w="3216"/>
            <w:shd w:fill="E8EEF5"/>
            <w:tcMar>
              <w:top w:w="80" w:type="dxa"/>
              <w:start w:w="120" w:type="dxa"/>
              <w:bottom w:w="80" w:type="dxa"/>
              <w:end w:w="120" w:type="dxa"/>
            </w:tcMar>
          </w:tcPr>
          <w:p>
            <w:r>
              <w:rPr>
                <w:b/>
              </w:rPr>
              <w:t>Kernel result</w:t>
            </w:r>
          </w:p>
        </w:tc>
      </w:tr>
      <w:tr>
        <w:tc>
          <w:tcPr>
            <w:tcW w:type="dxa" w:w="3216"/>
            <w:vAlign w:val="center"/>
            <w:tcMar>
              <w:top w:w="80" w:type="dxa"/>
              <w:start w:w="120" w:type="dxa"/>
              <w:bottom w:w="80" w:type="dxa"/>
              <w:end w:w="120" w:type="dxa"/>
            </w:tcMar>
          </w:tcPr>
          <w:p>
            <w:r>
              <w:t>EvaluateProtectedAction</w:t>
            </w:r>
          </w:p>
        </w:tc>
        <w:tc>
          <w:tcPr>
            <w:tcW w:type="dxa" w:w="3216"/>
            <w:vAlign w:val="center"/>
            <w:tcMar>
              <w:top w:w="80" w:type="dxa"/>
              <w:start w:w="120" w:type="dxa"/>
              <w:bottom w:w="80" w:type="dxa"/>
              <w:end w:w="120" w:type="dxa"/>
            </w:tcMar>
          </w:tcPr>
          <w:p>
            <w:r>
              <w:t>Actor, intent, scope, policy context, evidence, requested effect.</w:t>
            </w:r>
          </w:p>
        </w:tc>
        <w:tc>
          <w:tcPr>
            <w:tcW w:type="dxa" w:w="3216"/>
            <w:vAlign w:val="center"/>
            <w:tcMar>
              <w:top w:w="80" w:type="dxa"/>
              <w:start w:w="120" w:type="dxa"/>
              <w:bottom w:w="80" w:type="dxa"/>
              <w:end w:w="120" w:type="dxa"/>
            </w:tcMar>
          </w:tcPr>
          <w:p>
            <w:r>
              <w:t>Allow, deny, require verification, require Owner ceremony, or route to recovery/safe mode.</w:t>
            </w:r>
          </w:p>
        </w:tc>
      </w:tr>
      <w:tr>
        <w:tc>
          <w:tcPr>
            <w:tcW w:type="dxa" w:w="3216"/>
            <w:vAlign w:val="center"/>
            <w:tcMar>
              <w:top w:w="80" w:type="dxa"/>
              <w:start w:w="120" w:type="dxa"/>
              <w:bottom w:w="80" w:type="dxa"/>
              <w:end w:w="120" w:type="dxa"/>
            </w:tcMar>
          </w:tcPr>
          <w:p>
            <w:r>
              <w:t>BeginProtectedTransaction</w:t>
            </w:r>
          </w:p>
        </w:tc>
        <w:tc>
          <w:tcPr>
            <w:tcW w:type="dxa" w:w="3216"/>
            <w:vAlign w:val="center"/>
            <w:tcMar>
              <w:top w:w="80" w:type="dxa"/>
              <w:start w:w="120" w:type="dxa"/>
              <w:bottom w:w="80" w:type="dxa"/>
              <w:end w:w="120" w:type="dxa"/>
            </w:tcMar>
          </w:tcPr>
          <w:p>
            <w:r>
              <w:t>Authorized plan, rollback/compensation path, blast radius, verification requirement.</w:t>
            </w:r>
          </w:p>
        </w:tc>
        <w:tc>
          <w:tcPr>
            <w:tcW w:type="dxa" w:w="3216"/>
            <w:vAlign w:val="center"/>
            <w:tcMar>
              <w:top w:w="80" w:type="dxa"/>
              <w:start w:w="120" w:type="dxa"/>
              <w:bottom w:w="80" w:type="dxa"/>
              <w:end w:w="120" w:type="dxa"/>
            </w:tcMar>
          </w:tcPr>
          <w:p>
            <w:r>
              <w:t>Transaction lease and immutable policy/authority binding.</w:t>
            </w:r>
          </w:p>
        </w:tc>
      </w:tr>
      <w:tr>
        <w:tc>
          <w:tcPr>
            <w:tcW w:type="dxa" w:w="3216"/>
            <w:vAlign w:val="center"/>
            <w:tcMar>
              <w:top w:w="80" w:type="dxa"/>
              <w:start w:w="120" w:type="dxa"/>
              <w:bottom w:w="80" w:type="dxa"/>
              <w:end w:w="120" w:type="dxa"/>
            </w:tcMar>
          </w:tcPr>
          <w:p>
            <w:r>
              <w:t>CommitProtectedMutation</w:t>
            </w:r>
          </w:p>
        </w:tc>
        <w:tc>
          <w:tcPr>
            <w:tcW w:type="dxa" w:w="3216"/>
            <w:vAlign w:val="center"/>
            <w:tcMar>
              <w:top w:w="80" w:type="dxa"/>
              <w:start w:w="120" w:type="dxa"/>
              <w:bottom w:w="80" w:type="dxa"/>
              <w:end w:w="120" w:type="dxa"/>
            </w:tcMar>
          </w:tcPr>
          <w:p>
            <w:r>
              <w:t>Transaction result, verification evidence, state version precondition, audit payload.</w:t>
            </w:r>
          </w:p>
        </w:tc>
        <w:tc>
          <w:tcPr>
            <w:tcW w:type="dxa" w:w="3216"/>
            <w:vAlign w:val="center"/>
            <w:tcMar>
              <w:top w:w="80" w:type="dxa"/>
              <w:start w:w="120" w:type="dxa"/>
              <w:bottom w:w="80" w:type="dxa"/>
              <w:end w:w="120" w:type="dxa"/>
            </w:tcMar>
          </w:tcPr>
          <w:p>
            <w:r>
              <w:t>Atomic commit, compensating action, or durable pending/recovery state.</w:t>
            </w:r>
          </w:p>
        </w:tc>
      </w:tr>
      <w:tr>
        <w:tc>
          <w:tcPr>
            <w:tcW w:type="dxa" w:w="3216"/>
            <w:vAlign w:val="center"/>
            <w:tcMar>
              <w:top w:w="80" w:type="dxa"/>
              <w:start w:w="120" w:type="dxa"/>
              <w:bottom w:w="80" w:type="dxa"/>
              <w:end w:w="120" w:type="dxa"/>
            </w:tcMar>
          </w:tcPr>
          <w:p>
            <w:r>
              <w:t>ValidateOwnerAuthorization</w:t>
            </w:r>
          </w:p>
        </w:tc>
        <w:tc>
          <w:tcPr>
            <w:tcW w:type="dxa" w:w="3216"/>
            <w:vAlign w:val="center"/>
            <w:tcMar>
              <w:top w:w="80" w:type="dxa"/>
              <w:start w:w="120" w:type="dxa"/>
              <w:bottom w:w="80" w:type="dxa"/>
              <w:end w:w="120" w:type="dxa"/>
            </w:tcMar>
          </w:tcPr>
          <w:p>
            <w:r>
              <w:t>Exact change identifier, current owner session evidence, fresh authorization factor.</w:t>
            </w:r>
          </w:p>
        </w:tc>
        <w:tc>
          <w:tcPr>
            <w:tcW w:type="dxa" w:w="3216"/>
            <w:vAlign w:val="center"/>
            <w:tcMar>
              <w:top w:w="80" w:type="dxa"/>
              <w:start w:w="120" w:type="dxa"/>
              <w:bottom w:w="80" w:type="dxa"/>
              <w:end w:w="120" w:type="dxa"/>
            </w:tcMar>
          </w:tcPr>
          <w:p>
            <w:r>
              <w:t>One-time signed authorization or denial.</w:t>
            </w:r>
          </w:p>
        </w:tc>
      </w:tr>
      <w:tr>
        <w:tc>
          <w:tcPr>
            <w:tcW w:type="dxa" w:w="3216"/>
            <w:vAlign w:val="center"/>
            <w:tcMar>
              <w:top w:w="80" w:type="dxa"/>
              <w:start w:w="120" w:type="dxa"/>
              <w:bottom w:w="80" w:type="dxa"/>
              <w:end w:w="120" w:type="dxa"/>
            </w:tcMar>
          </w:tcPr>
          <w:p>
            <w:r>
              <w:t>VerifyConstitutionalState</w:t>
            </w:r>
          </w:p>
        </w:tc>
        <w:tc>
          <w:tcPr>
            <w:tcW w:type="dxa" w:w="3216"/>
            <w:vAlign w:val="center"/>
            <w:tcMar>
              <w:top w:w="80" w:type="dxa"/>
              <w:start w:w="120" w:type="dxa"/>
              <w:bottom w:w="80" w:type="dxa"/>
              <w:end w:w="120" w:type="dxa"/>
            </w:tcMar>
          </w:tcPr>
          <w:p>
            <w:r>
              <w:t>Constitution version, invariant set, root-state evidence, audit anchors.</w:t>
            </w:r>
          </w:p>
        </w:tc>
        <w:tc>
          <w:tcPr>
            <w:tcW w:type="dxa" w:w="3216"/>
            <w:vAlign w:val="center"/>
            <w:tcMar>
              <w:top w:w="80" w:type="dxa"/>
              <w:start w:w="120" w:type="dxa"/>
              <w:bottom w:w="80" w:type="dxa"/>
              <w:end w:w="120" w:type="dxa"/>
            </w:tcMar>
          </w:tcPr>
          <w:p>
            <w:r>
              <w:t>Admit, restrict, or enter Safe Mode.</w:t>
            </w:r>
          </w:p>
        </w:tc>
      </w:tr>
      <w:tr>
        <w:tc>
          <w:tcPr>
            <w:tcW w:type="dxa" w:w="3216"/>
            <w:vAlign w:val="center"/>
            <w:tcMar>
              <w:top w:w="80" w:type="dxa"/>
              <w:start w:w="120" w:type="dxa"/>
              <w:bottom w:w="80" w:type="dxa"/>
              <w:end w:w="120" w:type="dxa"/>
            </w:tcMar>
          </w:tcPr>
          <w:p>
            <w:r>
              <w:t>AdmitRecovery</w:t>
            </w:r>
          </w:p>
        </w:tc>
        <w:tc>
          <w:tcPr>
            <w:tcW w:type="dxa" w:w="3216"/>
            <w:vAlign w:val="center"/>
            <w:tcMar>
              <w:top w:w="80" w:type="dxa"/>
              <w:start w:w="120" w:type="dxa"/>
              <w:bottom w:w="80" w:type="dxa"/>
              <w:end w:w="120" w:type="dxa"/>
            </w:tcMar>
          </w:tcPr>
          <w:p>
            <w:r>
              <w:t>Restore evidence, integrity report, reconciliation plan, current policy and identity state.</w:t>
            </w:r>
          </w:p>
        </w:tc>
        <w:tc>
          <w:tcPr>
            <w:tcW w:type="dxa" w:w="3216"/>
            <w:vAlign w:val="center"/>
            <w:tcMar>
              <w:top w:w="80" w:type="dxa"/>
              <w:start w:w="120" w:type="dxa"/>
              <w:bottom w:w="80" w:type="dxa"/>
              <w:end w:w="120" w:type="dxa"/>
            </w:tcMar>
          </w:tcPr>
          <w:p>
            <w:r>
              <w:t>Recovery admission plan or rejection.</w:t>
            </w:r>
          </w:p>
        </w:tc>
      </w:tr>
      <w:tr>
        <w:tc>
          <w:tcPr>
            <w:tcW w:type="dxa" w:w="3216"/>
            <w:vAlign w:val="center"/>
            <w:tcMar>
              <w:top w:w="80" w:type="dxa"/>
              <w:start w:w="120" w:type="dxa"/>
              <w:bottom w:w="80" w:type="dxa"/>
              <w:end w:w="120" w:type="dxa"/>
            </w:tcMar>
          </w:tcPr>
          <w:p>
            <w:r>
              <w:t>IssueDelegatedExecutionEnvelope</w:t>
            </w:r>
          </w:p>
        </w:tc>
        <w:tc>
          <w:tcPr>
            <w:tcW w:type="dxa" w:w="3216"/>
            <w:vAlign w:val="center"/>
            <w:tcMar>
              <w:top w:w="80" w:type="dxa"/>
              <w:start w:w="120" w:type="dxa"/>
              <w:bottom w:w="80" w:type="dxa"/>
              <w:end w:w="120" w:type="dxa"/>
            </w:tcMar>
          </w:tcPr>
          <w:p>
            <w:r>
              <w:t>Authorized actor, capability scope, time limit, transaction/correlation context.</w:t>
            </w:r>
          </w:p>
        </w:tc>
        <w:tc>
          <w:tcPr>
            <w:tcW w:type="dxa" w:w="3216"/>
            <w:vAlign w:val="center"/>
            <w:tcMar>
              <w:top w:w="80" w:type="dxa"/>
              <w:start w:w="120" w:type="dxa"/>
              <w:bottom w:w="80" w:type="dxa"/>
              <w:end w:w="120" w:type="dxa"/>
            </w:tcMar>
          </w:tcPr>
          <w:p>
            <w:r>
              <w:t>Non-transferable, auditable, narrowly scoped execution envelope.</w:t>
            </w:r>
          </w:p>
        </w:tc>
      </w:tr>
    </w:tbl>
    <w:p>
      <w:pPr>
        <w:pStyle w:val="Heading2"/>
      </w:pPr>
      <w:r>
        <w:t>5. Protected Mutation Protocol</w:t>
      </w:r>
    </w:p>
    <w:p>
      <w:r>
        <w:t>A protected mutation is any state change that affects constitutional rules, protected policy, Owner authority, identity, trust requirements, authentication requirements, audits, quarantines, Treaties, capability classes, or protected permanent state. Protected mutations use a deliberate prepare–verify–authorize–commit sequence.</w:t>
      </w:r>
    </w:p>
    <w:p>
      <w:pPr>
        <w:pStyle w:val="ListBullet"/>
        <w:spacing w:after="60"/>
      </w:pPr>
      <w:r>
        <w:t>Prepare: the requesting service creates a complete change object with exact intended effect, alternatives, affected state, risk, rollback or recovery plan, and required verification.</w:t>
      </w:r>
    </w:p>
    <w:p>
      <w:pPr>
        <w:pStyle w:val="ListBullet"/>
        <w:spacing w:after="60"/>
      </w:pPr>
      <w:r>
        <w:t>Validate: the kernel checks identity, delegation, policy, constitutional version compatibility, transaction preconditions, current operating mode, and evidence freshness.</w:t>
      </w:r>
    </w:p>
    <w:p>
      <w:pPr>
        <w:pStyle w:val="ListBullet"/>
        <w:spacing w:after="60"/>
      </w:pPr>
      <w:r>
        <w:t>Verify: the Verification Service supplies required simulation, shadow, canary, integrity, or recovery evidence; the kernel records its result without inventing confidence.</w:t>
      </w:r>
    </w:p>
    <w:p>
      <w:pPr>
        <w:pStyle w:val="ListBullet"/>
        <w:spacing w:after="60"/>
      </w:pPr>
      <w:r>
        <w:t>Authorize: if the change crosses a protected threshold, the kernel requires the Owner Authorization Ceremony bound to the exact immutable change identifier.</w:t>
      </w:r>
    </w:p>
    <w:p>
      <w:pPr>
        <w:pStyle w:val="ListBullet"/>
        <w:spacing w:after="60"/>
      </w:pPr>
      <w:r>
        <w:t>Commit: the kernel writes the protected audit record and commits only if state versions, authorization, verification, and policy bindings still match.</w:t>
      </w:r>
    </w:p>
    <w:p>
      <w:pPr>
        <w:pStyle w:val="ListBullet"/>
        <w:spacing w:after="60"/>
      </w:pPr>
      <w:r>
        <w:t>Observe: outcome evidence, rollback readiness, and post-change health are attached. A changed proposal invalidates prior authorization and must restart the ceremony.</w:t>
      </w:r>
    </w:p>
    <w:p>
      <w:pPr>
        <w:pStyle w:val="Heading2"/>
      </w:pPr>
      <w:r>
        <w:t>6. Owner Authorization Ceremony Enforcement</w:t>
      </w:r>
    </w:p>
    <w:p>
      <w:r>
        <w:t>The kernel enforces the constitutional distinction between deliberative assent and verified authorization. Ordinary conversational agreement, including “yes,” “lock it in,” or “go ahead,” is never an execution credential for a protected change. The kernel accepts only a fresh, time-limited, non-replayable authorization bound to one exact change object and supported by current Owner identity and liveness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Requirement</w:t>
            </w:r>
          </w:p>
        </w:tc>
        <w:tc>
          <w:tcPr>
            <w:tcW w:type="dxa" w:w="4824"/>
            <w:shd w:fill="E8EEF5"/>
            <w:tcMar>
              <w:top w:w="80" w:type="dxa"/>
              <w:start w:w="120" w:type="dxa"/>
              <w:bottom w:w="80" w:type="dxa"/>
              <w:end w:w="120" w:type="dxa"/>
            </w:tcMar>
          </w:tcPr>
          <w:p>
            <w:r>
              <w:rPr>
                <w:b/>
              </w:rPr>
              <w:t>Kernel enforcement</w:t>
            </w:r>
          </w:p>
        </w:tc>
      </w:tr>
      <w:tr>
        <w:tc>
          <w:tcPr>
            <w:tcW w:type="dxa" w:w="4824"/>
            <w:vAlign w:val="center"/>
            <w:tcMar>
              <w:top w:w="80" w:type="dxa"/>
              <w:start w:w="120" w:type="dxa"/>
              <w:bottom w:w="80" w:type="dxa"/>
              <w:end w:w="120" w:type="dxa"/>
            </w:tcMar>
          </w:tcPr>
          <w:p>
            <w:r>
              <w:t>Exact binding</w:t>
            </w:r>
          </w:p>
        </w:tc>
        <w:tc>
          <w:tcPr>
            <w:tcW w:type="dxa" w:w="4824"/>
            <w:vAlign w:val="center"/>
            <w:tcMar>
              <w:top w:w="80" w:type="dxa"/>
              <w:start w:w="120" w:type="dxa"/>
              <w:bottom w:w="80" w:type="dxa"/>
              <w:end w:w="120" w:type="dxa"/>
            </w:tcMar>
          </w:tcPr>
          <w:p>
            <w:r>
              <w:t>Authorization includes the immutable change identifier, affected records, and canonical change digest.</w:t>
            </w:r>
          </w:p>
        </w:tc>
      </w:tr>
      <w:tr>
        <w:tc>
          <w:tcPr>
            <w:tcW w:type="dxa" w:w="4824"/>
            <w:vAlign w:val="center"/>
            <w:tcMar>
              <w:top w:w="80" w:type="dxa"/>
              <w:start w:w="120" w:type="dxa"/>
              <w:bottom w:w="80" w:type="dxa"/>
              <w:end w:w="120" w:type="dxa"/>
            </w:tcMar>
          </w:tcPr>
          <w:p>
            <w:r>
              <w:t>Freshness</w:t>
            </w:r>
          </w:p>
        </w:tc>
        <w:tc>
          <w:tcPr>
            <w:tcW w:type="dxa" w:w="4824"/>
            <w:vAlign w:val="center"/>
            <w:tcMar>
              <w:top w:w="80" w:type="dxa"/>
              <w:start w:w="120" w:type="dxa"/>
              <w:bottom w:w="80" w:type="dxa"/>
              <w:end w:w="120" w:type="dxa"/>
            </w:tcMar>
          </w:tcPr>
          <w:p>
            <w:r>
              <w:t>Authorization expires quickly and cannot be reused after completion, timeout, or material proposal change.</w:t>
            </w:r>
          </w:p>
        </w:tc>
      </w:tr>
      <w:tr>
        <w:tc>
          <w:tcPr>
            <w:tcW w:type="dxa" w:w="4824"/>
            <w:vAlign w:val="center"/>
            <w:tcMar>
              <w:top w:w="80" w:type="dxa"/>
              <w:start w:w="120" w:type="dxa"/>
              <w:bottom w:w="80" w:type="dxa"/>
              <w:end w:w="120" w:type="dxa"/>
            </w:tcMar>
          </w:tcPr>
          <w:p>
            <w:r>
              <w:t>Identity and liveness</w:t>
            </w:r>
          </w:p>
        </w:tc>
        <w:tc>
          <w:tcPr>
            <w:tcW w:type="dxa" w:w="4824"/>
            <w:vAlign w:val="center"/>
            <w:tcMar>
              <w:top w:w="80" w:type="dxa"/>
              <w:start w:w="120" w:type="dxa"/>
              <w:bottom w:w="80" w:type="dxa"/>
              <w:end w:w="120" w:type="dxa"/>
            </w:tcMar>
          </w:tcPr>
          <w:p>
            <w:r>
              <w:t>The kernel verifies active Owner authentication evidence; a successful historical session is insufficient.</w:t>
            </w:r>
          </w:p>
        </w:tc>
      </w:tr>
      <w:tr>
        <w:tc>
          <w:tcPr>
            <w:tcW w:type="dxa" w:w="4824"/>
            <w:vAlign w:val="center"/>
            <w:tcMar>
              <w:top w:w="80" w:type="dxa"/>
              <w:start w:w="120" w:type="dxa"/>
              <w:bottom w:w="80" w:type="dxa"/>
              <w:end w:w="120" w:type="dxa"/>
            </w:tcMar>
          </w:tcPr>
          <w:p>
            <w:r>
              <w:t>Factor independence</w:t>
            </w:r>
          </w:p>
        </w:tc>
        <w:tc>
          <w:tcPr>
            <w:tcW w:type="dxa" w:w="4824"/>
            <w:vAlign w:val="center"/>
            <w:tcMar>
              <w:top w:w="80" w:type="dxa"/>
              <w:start w:w="120" w:type="dxa"/>
              <w:bottom w:w="80" w:type="dxa"/>
              <w:end w:w="120" w:type="dxa"/>
            </w:tcMar>
          </w:tcPr>
          <w:p>
            <w:r>
              <w:t>Authorization factor is separate from ordinary conversation and may combine passkey, hardware key, PIN, biometrics, signed Owner device, or future approved liveness method.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The ceremony records the proposal, disclosures, authentication evidence class, authorization result, and execution outcome without unnecessarily exposing secrets.</w:t>
            </w:r>
          </w:p>
        </w:tc>
      </w:tr>
      <w:tr>
        <w:tc>
          <w:tcPr>
            <w:tcW w:type="dxa" w:w="4824"/>
            <w:vAlign w:val="center"/>
            <w:tcMar>
              <w:top w:w="80" w:type="dxa"/>
              <w:start w:w="120" w:type="dxa"/>
              <w:bottom w:w="80" w:type="dxa"/>
              <w:end w:w="120" w:type="dxa"/>
            </w:tcMar>
          </w:tcPr>
          <w:p>
            <w:r>
              <w:t>Failure behavior</w:t>
            </w:r>
          </w:p>
        </w:tc>
        <w:tc>
          <w:tcPr>
            <w:tcW w:type="dxa" w:w="4824"/>
            <w:vAlign w:val="center"/>
            <w:tcMar>
              <w:top w:w="80" w:type="dxa"/>
              <w:start w:w="120" w:type="dxa"/>
              <w:bottom w:w="80" w:type="dxa"/>
              <w:end w:w="120" w:type="dxa"/>
            </w:tcMar>
          </w:tcPr>
          <w:p>
            <w:r>
              <w:t>If any required check is unavailable or uncertain, the change remains pending or is denied; standards never relax because a factor is unavailable.</w:t>
            </w:r>
          </w:p>
        </w:tc>
      </w:tr>
    </w:tbl>
    <w:p>
      <w:pPr>
        <w:pStyle w:val="Heading2"/>
      </w:pPr>
      <w:r>
        <w:t>7. Invariants and Safe Mode</w:t>
      </w:r>
    </w:p>
    <w:p>
      <w:r>
        <w:t>The kernel treats an invariant conflict, untrusted root state, broken audit chain, unresolved Owner identity conflict, or unauthorized constitutional mutation as a constitutional incident. It enters Safe Mode for affected protected domains, preserves evidence, and permits only inspection, recovery, and Owner-authorized repair paths.</w:t>
      </w:r>
    </w:p>
    <w:p>
      <w:pPr>
        <w:pStyle w:val="ListBullet"/>
        <w:spacing w:after="60"/>
      </w:pPr>
      <w:r>
        <w:t>There is exactly one active constitutional Owner identity at any time.</w:t>
      </w:r>
    </w:p>
    <w:p>
      <w:pPr>
        <w:pStyle w:val="ListBullet"/>
        <w:spacing w:after="60"/>
      </w:pPr>
      <w:r>
        <w:t>No protected state change is valid without a corresponding immutable audit record and applicable authorization evidence.</w:t>
      </w:r>
    </w:p>
    <w:p>
      <w:pPr>
        <w:pStyle w:val="ListBullet"/>
        <w:spacing w:after="60"/>
      </w:pPr>
      <w:r>
        <w:t>No service may impersonate another service or broaden its delegated authority.</w:t>
      </w:r>
    </w:p>
    <w:p>
      <w:pPr>
        <w:pStyle w:val="ListBullet"/>
        <w:spacing w:after="60"/>
      </w:pPr>
      <w:r>
        <w:t>No node, provider, presence, network location, or historical trust score substitutes for current identity, authorization, and policy evaluation.</w:t>
      </w:r>
    </w:p>
    <w:p>
      <w:pPr>
        <w:pStyle w:val="ListBullet"/>
        <w:spacing w:after="60"/>
      </w:pPr>
      <w:r>
        <w:t>Failures may change capabilities but may never silently change HAL’s rules.</w:t>
      </w:r>
    </w:p>
    <w:p>
      <w:pPr>
        <w:pStyle w:val="ListBullet"/>
        <w:spacing w:after="60"/>
      </w:pPr>
      <w:r>
        <w:t>Constitutional identity persists through implementation replacement only when root state, constitutional lineage, governed memory, audit continuity, and authority are preserved.</w:t>
      </w:r>
    </w:p>
    <w:p>
      <w:pPr>
        <w:pStyle w:val="Heading2"/>
      </w:pPr>
      <w:r>
        <w:t>8. Kernel Availability and Recovery</w:t>
      </w:r>
    </w:p>
    <w:p>
      <w:r>
        <w:t>The kernel is replicated or recoverable according to the deployment’s protected-state durability policy, but it is logically singular: concurrent partitions cannot independently make protected canonical commits. A partition lacking required quorum or current constitutional state enters Restricted mode. Recovery uses signed constitutional mirrors, protected audit checkpoints, independent backups, and reconciliation evidence before resuming protected work.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Condition</w:t>
            </w:r>
          </w:p>
        </w:tc>
        <w:tc>
          <w:tcPr>
            <w:tcW w:type="dxa" w:w="4824"/>
            <w:shd w:fill="E8EEF5"/>
            <w:tcMar>
              <w:top w:w="80" w:type="dxa"/>
              <w:start w:w="120" w:type="dxa"/>
              <w:bottom w:w="80" w:type="dxa"/>
              <w:end w:w="120" w:type="dxa"/>
            </w:tcMar>
          </w:tcPr>
          <w:p>
            <w:r>
              <w:rPr>
                <w:b/>
              </w:rPr>
              <w:t>Kernel behavior</w:t>
            </w:r>
          </w:p>
        </w:tc>
      </w:tr>
      <w:tr>
        <w:tc>
          <w:tcPr>
            <w:tcW w:type="dxa" w:w="4824"/>
            <w:vAlign w:val="center"/>
            <w:tcMar>
              <w:top w:w="80" w:type="dxa"/>
              <w:start w:w="120" w:type="dxa"/>
              <w:bottom w:w="80" w:type="dxa"/>
              <w:end w:w="120" w:type="dxa"/>
            </w:tcMar>
          </w:tcPr>
          <w:p>
            <w:r>
              <w:t>Optional governed service unavailable</w:t>
            </w:r>
          </w:p>
        </w:tc>
        <w:tc>
          <w:tcPr>
            <w:tcW w:type="dxa" w:w="4824"/>
            <w:vAlign w:val="center"/>
            <w:tcMar>
              <w:top w:w="80" w:type="dxa"/>
              <w:start w:w="120" w:type="dxa"/>
              <w:bottom w:w="80" w:type="dxa"/>
              <w:end w:w="120" w:type="dxa"/>
            </w:tcMar>
          </w:tcPr>
          <w:p>
            <w:r>
              <w:t>Kernel continues enforcing protected controls; related capability is unavailable or degraded.</w:t>
            </w:r>
          </w:p>
        </w:tc>
      </w:tr>
      <w:tr>
        <w:tc>
          <w:tcPr>
            <w:tcW w:type="dxa" w:w="4824"/>
            <w:vAlign w:val="center"/>
            <w:tcMar>
              <w:top w:w="80" w:type="dxa"/>
              <w:start w:w="120" w:type="dxa"/>
              <w:bottom w:w="80" w:type="dxa"/>
              <w:end w:w="120" w:type="dxa"/>
            </w:tcMar>
          </w:tcPr>
          <w:p>
            <w:r>
              <w:t>Kernel replica disagreement</w:t>
            </w:r>
          </w:p>
        </w:tc>
        <w:tc>
          <w:tcPr>
            <w:tcW w:type="dxa" w:w="4824"/>
            <w:vAlign w:val="center"/>
            <w:tcMar>
              <w:top w:w="80" w:type="dxa"/>
              <w:start w:w="120" w:type="dxa"/>
              <w:bottom w:w="80" w:type="dxa"/>
              <w:end w:w="120" w:type="dxa"/>
            </w:tcMar>
          </w:tcPr>
          <w:p>
            <w:r>
              <w:t>Reject protected commits; preserve evidence; reconcile using audit anchors and authorized recovery procedure.</w:t>
            </w:r>
          </w:p>
        </w:tc>
      </w:tr>
      <w:tr>
        <w:tc>
          <w:tcPr>
            <w:tcW w:type="dxa" w:w="4824"/>
            <w:vAlign w:val="center"/>
            <w:tcMar>
              <w:top w:w="80" w:type="dxa"/>
              <w:start w:w="120" w:type="dxa"/>
              <w:bottom w:w="80" w:type="dxa"/>
              <w:end w:w="120" w:type="dxa"/>
            </w:tcMar>
          </w:tcPr>
          <w:p>
            <w:r>
              <w:t>Audit anchor mismatch</w:t>
            </w:r>
          </w:p>
        </w:tc>
        <w:tc>
          <w:tcPr>
            <w:tcW w:type="dxa" w:w="4824"/>
            <w:vAlign w:val="center"/>
            <w:tcMar>
              <w:top w:w="80" w:type="dxa"/>
              <w:start w:w="120" w:type="dxa"/>
              <w:bottom w:w="80" w:type="dxa"/>
              <w:end w:w="120" w:type="dxa"/>
            </w:tcMar>
          </w:tcPr>
          <w:p>
            <w:r>
              <w:t>Enter Safe Mode for protected mutations; verify lineage and restore or reconcile before admission.</w:t>
            </w:r>
          </w:p>
        </w:tc>
      </w:tr>
      <w:tr>
        <w:tc>
          <w:tcPr>
            <w:tcW w:type="dxa" w:w="4824"/>
            <w:vAlign w:val="center"/>
            <w:tcMar>
              <w:top w:w="80" w:type="dxa"/>
              <w:start w:w="120" w:type="dxa"/>
              <w:bottom w:w="80" w:type="dxa"/>
              <w:end w:w="120" w:type="dxa"/>
            </w:tcMar>
          </w:tcPr>
          <w:p>
            <w:r>
              <w:t>Owner identity uncertainty</w:t>
            </w:r>
          </w:p>
        </w:tc>
        <w:tc>
          <w:tcPr>
            <w:tcW w:type="dxa" w:w="4824"/>
            <w:vAlign w:val="center"/>
            <w:tcMar>
              <w:top w:w="80" w:type="dxa"/>
              <w:start w:w="120" w:type="dxa"/>
              <w:bottom w:w="80" w:type="dxa"/>
              <w:end w:w="120" w:type="dxa"/>
            </w:tcMar>
          </w:tcPr>
          <w:p>
            <w:r>
              <w:t>Deny protected Owner actions; allow non-protected, separately authorized operation where policy permits.</w:t>
            </w:r>
          </w:p>
        </w:tc>
      </w:tr>
      <w:tr>
        <w:tc>
          <w:tcPr>
            <w:tcW w:type="dxa" w:w="4824"/>
            <w:vAlign w:val="center"/>
            <w:tcMar>
              <w:top w:w="80" w:type="dxa"/>
              <w:start w:w="120" w:type="dxa"/>
              <w:bottom w:w="80" w:type="dxa"/>
              <w:end w:w="120" w:type="dxa"/>
            </w:tcMar>
          </w:tcPr>
          <w:p>
            <w:r>
              <w:t>Constitution version mismatch</w:t>
            </w:r>
          </w:p>
        </w:tc>
        <w:tc>
          <w:tcPr>
            <w:tcW w:type="dxa" w:w="4824"/>
            <w:vAlign w:val="center"/>
            <w:tcMar>
              <w:top w:w="80" w:type="dxa"/>
              <w:start w:w="120" w:type="dxa"/>
              <w:bottom w:w="80" w:type="dxa"/>
              <w:end w:w="120" w:type="dxa"/>
            </w:tcMar>
          </w:tcPr>
          <w:p>
            <w:r>
              <w:t>Admit only the verified compatible version; restrict affected services and require governed amendment/recovery path.</w:t>
            </w:r>
          </w:p>
        </w:tc>
      </w:tr>
      <w:tr>
        <w:tc>
          <w:tcPr>
            <w:tcW w:type="dxa" w:w="4824"/>
            <w:vAlign w:val="center"/>
            <w:tcMar>
              <w:top w:w="80" w:type="dxa"/>
              <w:start w:w="120" w:type="dxa"/>
              <w:bottom w:w="80" w:type="dxa"/>
              <w:end w:w="120" w:type="dxa"/>
            </w:tcMar>
          </w:tcPr>
          <w:p>
            <w:r>
              <w:t>Host replacement or migration</w:t>
            </w:r>
          </w:p>
        </w:tc>
        <w:tc>
          <w:tcPr>
            <w:tcW w:type="dxa" w:w="4824"/>
            <w:vAlign w:val="center"/>
            <w:tcMar>
              <w:top w:w="80" w:type="dxa"/>
              <w:start w:w="120" w:type="dxa"/>
              <w:bottom w:w="80" w:type="dxa"/>
              <w:end w:w="120" w:type="dxa"/>
            </w:tcMar>
          </w:tcPr>
          <w:p>
            <w:r>
              <w:t>Re-establish root state, verify recovery material, re-bind host identity, and perform staged runtime admission.</w:t>
            </w:r>
          </w:p>
        </w:tc>
      </w:tr>
    </w:tbl>
    <w:p>
      <w:pPr>
        <w:pStyle w:val="Heading2"/>
      </w:pPr>
      <w:r>
        <w:t>9. Security and Privacy Posture</w:t>
      </w:r>
    </w:p>
    <w:p>
      <w:r>
        <w:t>Kernel credentials and root records use hardware-backed or equivalently protected key material where available. Secrets are referenced rather than exposed to ordinary services. The kernel minimizes retained sensitive payloads: it records evidence identifiers, digests, classifications, and access decisions unless protected content is essential to constitutional recovery or audit. All kernel contracts require authenticated, integrity-protected communication; sensitive payloads remain encrypted to authorized recipients.</w:t>
      </w:r>
    </w:p>
    <w:p>
      <w:pPr>
        <w:pStyle w:val="Heading2"/>
      </w:pPr>
      <w:r>
        <w:t>10. Kernel Observability</w:t>
      </w:r>
    </w:p>
    <w:p>
      <w:r>
        <w:t>The kernel publishes a bounded Self Model projection: constitutional version, invariant verification state, current mode, protected-policy version, audit-anchor health, pending authorization ceremonies, recovery status, and declared limitations. It does not expose secret material, raw authorization factors, or unnecessary private payloads. Any inconsistency between the projection and protected root state is a constitutional incident.</w:t>
      </w:r>
    </w:p>
    <w:p>
      <w:pPr>
        <w:pStyle w:val="Heading2"/>
      </w:pPr>
      <w:r>
        <w:t>11. Guarantees</w:t>
      </w:r>
    </w:p>
    <w:p>
      <w:pPr>
        <w:pStyle w:val="ListBullet"/>
        <w:spacing w:after="60"/>
      </w:pPr>
      <w:r>
        <w:t>The kernel MUST be the only path for constitutional and other protected commits.</w:t>
      </w:r>
    </w:p>
    <w:p>
      <w:pPr>
        <w:pStyle w:val="ListBullet"/>
        <w:spacing w:after="60"/>
      </w:pPr>
      <w:r>
        <w:t>The kernel MUST bind protected decisions to identity, authority, policy, evidence, verification, time, and immutable audit evidence.</w:t>
      </w:r>
    </w:p>
    <w:p>
      <w:pPr>
        <w:pStyle w:val="ListBullet"/>
        <w:spacing w:after="60"/>
      </w:pPr>
      <w:r>
        <w:t>The kernel MUST NOT infer protected authorization from conversational language, a prior approval, a cached session, or a network location.</w:t>
      </w:r>
    </w:p>
    <w:p>
      <w:pPr>
        <w:pStyle w:val="ListBullet"/>
        <w:spacing w:after="60"/>
      </w:pPr>
      <w:r>
        <w:t>The kernel MUST fail safe for uncertain protected state and MUST preserve the evidence necessary for recovery and Owner review.</w:t>
      </w:r>
    </w:p>
    <w:p>
      <w:pPr>
        <w:pStyle w:val="ListBullet"/>
        <w:spacing w:after="60"/>
      </w:pPr>
      <w:r>
        <w:t>The kernel MUST expose narrow contracts so governed services remain replaceable without gaining constitutional authority.</w:t>
      </w:r>
    </w:p>
    <w:p>
      <w:pPr>
        <w:pStyle w:val="ListBullet"/>
        <w:spacing w:after="60"/>
      </w:pPr>
      <w:r>
        <w:t>The kernel MUST verify continuity before admitting restored, migrated, or partitioned protected state.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3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Constitutional core boundary, event/audit journal, identity continuity, self-model evidence, governed service contracts.</w:t>
            </w:r>
          </w:p>
        </w:tc>
      </w:tr>
      <w:tr>
        <w:tc>
          <w:tcPr>
            <w:tcW w:type="dxa" w:w="4824"/>
            <w:vAlign w:val="center"/>
            <w:tcMar>
              <w:top w:w="80" w:type="dxa"/>
              <w:start w:w="120" w:type="dxa"/>
              <w:bottom w:w="80" w:type="dxa"/>
              <w:end w:w="120" w:type="dxa"/>
            </w:tcMar>
          </w:tcPr>
          <w:p>
            <w:r>
              <w:t>24–29</w:t>
            </w:r>
          </w:p>
        </w:tc>
        <w:tc>
          <w:tcPr>
            <w:tcW w:type="dxa" w:w="4824"/>
            <w:vAlign w:val="center"/>
            <w:tcMar>
              <w:top w:w="80" w:type="dxa"/>
              <w:start w:w="120" w:type="dxa"/>
              <w:bottom w:w="80" w:type="dxa"/>
              <w:end w:w="120" w:type="dxa"/>
            </w:tcMar>
          </w:tcPr>
          <w:p>
            <w:r>
              <w:t>Policy enforcement, evidence/trust separation, continuous authentication, introspection, distributed restrictions and recovery.</w:t>
            </w:r>
          </w:p>
        </w:tc>
      </w:tr>
      <w:tr>
        <w:tc>
          <w:tcPr>
            <w:tcW w:type="dxa" w:w="4824"/>
            <w:vAlign w:val="center"/>
            <w:tcMar>
              <w:top w:w="80" w:type="dxa"/>
              <w:start w:w="120" w:type="dxa"/>
              <w:bottom w:w="80" w:type="dxa"/>
              <w:end w:w="120" w:type="dxa"/>
            </w:tcMar>
          </w:tcPr>
          <w:p>
            <w:r>
              <w:t>35, 38–43</w:t>
            </w:r>
          </w:p>
        </w:tc>
        <w:tc>
          <w:tcPr>
            <w:tcW w:type="dxa" w:w="4824"/>
            <w:vAlign w:val="center"/>
            <w:tcMar>
              <w:top w:w="80" w:type="dxa"/>
              <w:start w:w="120" w:type="dxa"/>
              <w:bottom w:w="80" w:type="dxa"/>
              <w:end w:w="120" w:type="dxa"/>
            </w:tcMar>
          </w:tcPr>
          <w:p>
            <w:r>
              <w:t>Protected transactions, supervision boundary, configuration integrity, observability, durability, recovery, safe change.</w:t>
            </w:r>
          </w:p>
        </w:tc>
      </w:tr>
      <w:tr>
        <w:tc>
          <w:tcPr>
            <w:tcW w:type="dxa" w:w="4824"/>
            <w:vAlign w:val="center"/>
            <w:tcMar>
              <w:top w:w="80" w:type="dxa"/>
              <w:start w:w="120" w:type="dxa"/>
              <w:bottom w:w="80" w:type="dxa"/>
              <w:end w:w="120" w:type="dxa"/>
            </w:tcMar>
          </w:tcPr>
          <w:p>
            <w:r>
              <w:t>47–51</w:t>
            </w:r>
          </w:p>
        </w:tc>
        <w:tc>
          <w:tcPr>
            <w:tcW w:type="dxa" w:w="4824"/>
            <w:vAlign w:val="center"/>
            <w:tcMar>
              <w:top w:w="80" w:type="dxa"/>
              <w:start w:w="120" w:type="dxa"/>
              <w:bottom w:w="80" w:type="dxa"/>
              <w:end w:w="120" w:type="dxa"/>
            </w:tcMar>
          </w:tcPr>
          <w:p>
            <w:r>
              <w:t>Coordination without authority transfer, ownership and succession, sovereignty, verification, self-description and constitutional continuity.</w:t>
            </w:r>
          </w:p>
        </w:tc>
      </w:tr>
      <w:tr>
        <w:tc>
          <w:tcPr>
            <w:tcW w:type="dxa" w:w="4824"/>
            <w:vAlign w:val="center"/>
            <w:tcMar>
              <w:top w:w="80" w:type="dxa"/>
              <w:start w:w="120" w:type="dxa"/>
              <w:bottom w:w="80" w:type="dxa"/>
              <w:end w:w="120" w:type="dxa"/>
            </w:tcMar>
          </w:tcPr>
          <w:p>
            <w:r>
              <w:t>56, 58</w:t>
            </w:r>
          </w:p>
        </w:tc>
        <w:tc>
          <w:tcPr>
            <w:tcW w:type="dxa" w:w="4824"/>
            <w:vAlign w:val="center"/>
            <w:tcMar>
              <w:top w:w="80" w:type="dxa"/>
              <w:start w:w="120" w:type="dxa"/>
              <w:bottom w:w="80" w:type="dxa"/>
              <w:end w:w="120" w:type="dxa"/>
            </w:tcMar>
          </w:tcPr>
          <w:p>
            <w:r>
              <w:t>Uncertainty-driven restraint, explicit Safe Mode, amendment lifecycle support, and protected invariants.</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The kernel implements, rather than extends, Book I authority.</w:t>
            </w:r>
          </w:p>
        </w:tc>
      </w:tr>
      <w:tr>
        <w:tc>
          <w:tcPr>
            <w:tcW w:type="dxa" w:w="4824"/>
            <w:vAlign w:val="center"/>
            <w:tcMar>
              <w:top w:w="80" w:type="dxa"/>
              <w:start w:w="120" w:type="dxa"/>
              <w:bottom w:w="80" w:type="dxa"/>
              <w:end w:w="120" w:type="dxa"/>
            </w:tcMar>
          </w:tcPr>
          <w:p>
            <w:r>
              <w:t>Scope discipline</w:t>
            </w:r>
          </w:p>
        </w:tc>
        <w:tc>
          <w:tcPr>
            <w:tcW w:type="dxa" w:w="4824"/>
            <w:vAlign w:val="center"/>
            <w:tcMar>
              <w:top w:w="80" w:type="dxa"/>
              <w:start w:w="120" w:type="dxa"/>
              <w:bottom w:w="80" w:type="dxa"/>
              <w:end w:w="120" w:type="dxa"/>
            </w:tcMar>
          </w:tcPr>
          <w:p>
            <w:r>
              <w:t>Planning, learning, model execution, and external integration remain outside the kernel.</w:t>
            </w:r>
          </w:p>
        </w:tc>
      </w:tr>
      <w:tr>
        <w:tc>
          <w:tcPr>
            <w:tcW w:type="dxa" w:w="4824"/>
            <w:vAlign w:val="center"/>
            <w:tcMar>
              <w:top w:w="80" w:type="dxa"/>
              <w:start w:w="120" w:type="dxa"/>
              <w:bottom w:w="80" w:type="dxa"/>
              <w:end w:w="120" w:type="dxa"/>
            </w:tcMar>
          </w:tcPr>
          <w:p>
            <w:r>
              <w:t>Authorization safety</w:t>
            </w:r>
          </w:p>
        </w:tc>
        <w:tc>
          <w:tcPr>
            <w:tcW w:type="dxa" w:w="4824"/>
            <w:vAlign w:val="center"/>
            <w:tcMar>
              <w:top w:w="80" w:type="dxa"/>
              <w:start w:w="120" w:type="dxa"/>
              <w:bottom w:w="80" w:type="dxa"/>
              <w:end w:w="120" w:type="dxa"/>
            </w:tcMar>
          </w:tcPr>
          <w:p>
            <w:r>
              <w:t>Exact-change binding, freshness, liveness, independent factor, and audit requirements are explicit.</w:t>
            </w:r>
          </w:p>
        </w:tc>
      </w:tr>
      <w:tr>
        <w:tc>
          <w:tcPr>
            <w:tcW w:type="dxa" w:w="4824"/>
            <w:vAlign w:val="center"/>
            <w:tcMar>
              <w:top w:w="80" w:type="dxa"/>
              <w:start w:w="120" w:type="dxa"/>
              <w:bottom w:w="80" w:type="dxa"/>
              <w:end w:w="120" w:type="dxa"/>
            </w:tcMar>
          </w:tcPr>
          <w:p>
            <w:r>
              <w:t>Recovery posture</w:t>
            </w:r>
          </w:p>
        </w:tc>
        <w:tc>
          <w:tcPr>
            <w:tcW w:type="dxa" w:w="4824"/>
            <w:vAlign w:val="center"/>
            <w:tcMar>
              <w:top w:w="80" w:type="dxa"/>
              <w:start w:w="120" w:type="dxa"/>
              <w:bottom w:w="80" w:type="dxa"/>
              <w:end w:w="120" w:type="dxa"/>
            </w:tcMar>
          </w:tcPr>
          <w:p>
            <w:r>
              <w:t>Partition, mismatch, migration, and audit-integrity failure paths enter restriction or Safe Mode.</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Kernel boundaries and contracts are implementation choices consistent with already locked constitutional requirements.</w:t>
            </w:r>
          </w:p>
        </w:tc>
      </w:tr>
    </w:tbl>
    <w:p>
      <w:pPr>
        <w:pStyle w:val="Heading2"/>
      </w:pPr>
      <w:r>
        <w:t>14. Completion Status</w:t>
      </w:r>
    </w:p>
    <w:p>
      <w:r>
        <w:t>Chapter 3 is complete. It establishes the narrow enforcement boundary that permits later policy, identity, audit, transaction, and recovery services to evolve without diluting constitutional authority. Chapter 4 will specify Identity and Continuity.</w:t>
      </w:r>
    </w:p>
    <w:p>
      <w:r>
        <w:br w:type="page"/>
      </w:r>
    </w:p>
    <w:p>
      <w:pPr>
        <w:pStyle w:val="Heading1"/>
      </w:pPr>
      <w:r>
        <w:t>Chapter 4 — Identity and Continuity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Universal identity, authentication, delegation, health, quarantine, privacy scope, and lifecycle</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6, 19, 25, 27, 29, 32, 39, 45, 47–49, and 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specifies how HAL establishes who is involved in every interaction without confusing identity, authentication, trust, authority, ownership, or relationship. Identity is durable and universal: people, devices, services, nodes, providers, Presences, agents, sensors, and HAL subsystems all have identities. Authentication evaluates the present session; delegation grants bounded authority; trust evaluates credibility; none automatically substitutes for another.</w:t>
      </w:r>
    </w:p>
    <w:p>
      <w:pPr>
        <w:pStyle w:val="Heading2"/>
      </w:pPr>
      <w:r>
        <w:t>2. Identity Model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Concept</w:t>
            </w:r>
          </w:p>
        </w:tc>
        <w:tc>
          <w:tcPr>
            <w:tcW w:type="dxa" w:w="3216"/>
            <w:shd w:fill="E8EEF5"/>
            <w:tcMar>
              <w:top w:w="80" w:type="dxa"/>
              <w:start w:w="120" w:type="dxa"/>
              <w:bottom w:w="80" w:type="dxa"/>
              <w:end w:w="120" w:type="dxa"/>
            </w:tcMar>
          </w:tcPr>
          <w:p>
            <w:r>
              <w:rPr>
                <w:b/>
              </w:rPr>
              <w:t>Definition</w:t>
            </w:r>
          </w:p>
        </w:tc>
        <w:tc>
          <w:tcPr>
            <w:tcW w:type="dxa" w:w="3216"/>
            <w:shd w:fill="E8EEF5"/>
            <w:tcMar>
              <w:top w:w="80" w:type="dxa"/>
              <w:start w:w="120" w:type="dxa"/>
              <w:bottom w:w="80" w:type="dxa"/>
              <w:end w:w="120" w:type="dxa"/>
            </w:tcMar>
          </w:tcPr>
          <w:p>
            <w:r>
              <w:rPr>
                <w:b/>
              </w:rPr>
              <w:t>May change?</w:t>
            </w:r>
          </w:p>
        </w:tc>
      </w:tr>
      <w:tr>
        <w:tc>
          <w:tcPr>
            <w:tcW w:type="dxa" w:w="3216"/>
            <w:vAlign w:val="center"/>
            <w:tcMar>
              <w:top w:w="80" w:type="dxa"/>
              <w:start w:w="120" w:type="dxa"/>
              <w:bottom w:w="80" w:type="dxa"/>
              <w:end w:w="120" w:type="dxa"/>
            </w:tcMar>
          </w:tcPr>
          <w:p>
            <w:r>
              <w:t>Identity</w:t>
            </w:r>
          </w:p>
        </w:tc>
        <w:tc>
          <w:tcPr>
            <w:tcW w:type="dxa" w:w="3216"/>
            <w:vAlign w:val="center"/>
            <w:tcMar>
              <w:top w:w="80" w:type="dxa"/>
              <w:start w:w="120" w:type="dxa"/>
              <w:bottom w:w="80" w:type="dxa"/>
              <w:end w:w="120" w:type="dxa"/>
            </w:tcMar>
          </w:tcPr>
          <w:p>
            <w:r>
              <w:t>A stable, immutable principal identifier with type, public-key material, lifecycle state, and audit lineage.</w:t>
            </w:r>
          </w:p>
        </w:tc>
        <w:tc>
          <w:tcPr>
            <w:tcW w:type="dxa" w:w="3216"/>
            <w:vAlign w:val="center"/>
            <w:tcMar>
              <w:top w:w="80" w:type="dxa"/>
              <w:start w:w="120" w:type="dxa"/>
              <w:bottom w:w="80" w:type="dxa"/>
              <w:end w:w="120" w:type="dxa"/>
            </w:tcMar>
          </w:tcPr>
          <w:p>
            <w:r>
              <w:t>No; display and metadata may evolve.</w:t>
            </w:r>
          </w:p>
        </w:tc>
      </w:tr>
      <w:tr>
        <w:tc>
          <w:tcPr>
            <w:tcW w:type="dxa" w:w="3216"/>
            <w:vAlign w:val="center"/>
            <w:tcMar>
              <w:top w:w="80" w:type="dxa"/>
              <w:start w:w="120" w:type="dxa"/>
              <w:bottom w:w="80" w:type="dxa"/>
              <w:end w:w="120" w:type="dxa"/>
            </w:tcMar>
          </w:tcPr>
          <w:p>
            <w:r>
              <w:t>Authentication session</w:t>
            </w:r>
          </w:p>
        </w:tc>
        <w:tc>
          <w:tcPr>
            <w:tcW w:type="dxa" w:w="3216"/>
            <w:vAlign w:val="center"/>
            <w:tcMar>
              <w:top w:w="80" w:type="dxa"/>
              <w:start w:w="120" w:type="dxa"/>
              <w:bottom w:w="80" w:type="dxa"/>
              <w:end w:w="120" w:type="dxa"/>
            </w:tcMar>
          </w:tcPr>
          <w:p>
            <w:r>
              <w:t>Current evidence that a live actor controls or represents an identity.</w:t>
            </w:r>
          </w:p>
        </w:tc>
        <w:tc>
          <w:tcPr>
            <w:tcW w:type="dxa" w:w="3216"/>
            <w:vAlign w:val="center"/>
            <w:tcMar>
              <w:top w:w="80" w:type="dxa"/>
              <w:start w:w="120" w:type="dxa"/>
              <w:bottom w:w="80" w:type="dxa"/>
              <w:end w:w="120" w:type="dxa"/>
            </w:tcMar>
          </w:tcPr>
          <w:p>
            <w:r>
              <w:t>Yes; confidence and factors expire or degrade.</w:t>
            </w:r>
          </w:p>
        </w:tc>
      </w:tr>
      <w:tr>
        <w:tc>
          <w:tcPr>
            <w:tcW w:type="dxa" w:w="3216"/>
            <w:vAlign w:val="center"/>
            <w:tcMar>
              <w:top w:w="80" w:type="dxa"/>
              <w:start w:w="120" w:type="dxa"/>
              <w:bottom w:w="80" w:type="dxa"/>
              <w:end w:w="120" w:type="dxa"/>
            </w:tcMar>
          </w:tcPr>
          <w:p>
            <w:r>
              <w:t>Authority</w:t>
            </w:r>
          </w:p>
        </w:tc>
        <w:tc>
          <w:tcPr>
            <w:tcW w:type="dxa" w:w="3216"/>
            <w:vAlign w:val="center"/>
            <w:tcMar>
              <w:top w:w="80" w:type="dxa"/>
              <w:start w:w="120" w:type="dxa"/>
              <w:bottom w:w="80" w:type="dxa"/>
              <w:end w:w="120" w:type="dxa"/>
            </w:tcMar>
          </w:tcPr>
          <w:p>
            <w:r>
              <w:t>Permission to perform a defined action in a defined scope.</w:t>
            </w:r>
          </w:p>
        </w:tc>
        <w:tc>
          <w:tcPr>
            <w:tcW w:type="dxa" w:w="3216"/>
            <w:vAlign w:val="center"/>
            <w:tcMar>
              <w:top w:w="80" w:type="dxa"/>
              <w:start w:w="120" w:type="dxa"/>
              <w:bottom w:w="80" w:type="dxa"/>
              <w:end w:w="120" w:type="dxa"/>
            </w:tcMar>
          </w:tcPr>
          <w:p>
            <w:r>
              <w:t>Only through policy, ownership, or delegation.</w:t>
            </w:r>
          </w:p>
        </w:tc>
      </w:tr>
      <w:tr>
        <w:tc>
          <w:tcPr>
            <w:tcW w:type="dxa" w:w="3216"/>
            <w:vAlign w:val="center"/>
            <w:tcMar>
              <w:top w:w="80" w:type="dxa"/>
              <w:start w:w="120" w:type="dxa"/>
              <w:bottom w:w="80" w:type="dxa"/>
              <w:end w:w="120" w:type="dxa"/>
            </w:tcMar>
          </w:tcPr>
          <w:p>
            <w:r>
              <w:t>Trust</w:t>
            </w:r>
          </w:p>
        </w:tc>
        <w:tc>
          <w:tcPr>
            <w:tcW w:type="dxa" w:w="3216"/>
            <w:vAlign w:val="center"/>
            <w:tcMar>
              <w:top w:w="80" w:type="dxa"/>
              <w:start w:w="120" w:type="dxa"/>
              <w:bottom w:w="80" w:type="dxa"/>
              <w:end w:w="120" w:type="dxa"/>
            </w:tcMar>
          </w:tcPr>
          <w:p>
            <w:r>
              <w:t>Domain-specific assessment of credibility or reliability.</w:t>
            </w:r>
          </w:p>
        </w:tc>
        <w:tc>
          <w:tcPr>
            <w:tcW w:type="dxa" w:w="3216"/>
            <w:vAlign w:val="center"/>
            <w:tcMar>
              <w:top w:w="80" w:type="dxa"/>
              <w:start w:w="120" w:type="dxa"/>
              <w:bottom w:w="80" w:type="dxa"/>
              <w:end w:w="120" w:type="dxa"/>
            </w:tcMar>
          </w:tcPr>
          <w:p>
            <w:r>
              <w:t>Yes; evidence-driven and independent of authority.</w:t>
            </w:r>
          </w:p>
        </w:tc>
      </w:tr>
      <w:tr>
        <w:tc>
          <w:tcPr>
            <w:tcW w:type="dxa" w:w="3216"/>
            <w:vAlign w:val="center"/>
            <w:tcMar>
              <w:top w:w="80" w:type="dxa"/>
              <w:start w:w="120" w:type="dxa"/>
              <w:bottom w:w="80" w:type="dxa"/>
              <w:end w:w="120" w:type="dxa"/>
            </w:tcMar>
          </w:tcPr>
          <w:p>
            <w:r>
              <w:t>Ownership</w:t>
            </w:r>
          </w:p>
        </w:tc>
        <w:tc>
          <w:tcPr>
            <w:tcW w:type="dxa" w:w="3216"/>
            <w:vAlign w:val="center"/>
            <w:tcMar>
              <w:top w:w="80" w:type="dxa"/>
              <w:start w:w="120" w:type="dxa"/>
              <w:bottom w:w="80" w:type="dxa"/>
              <w:end w:w="120" w:type="dxa"/>
            </w:tcMar>
          </w:tcPr>
          <w:p>
            <w:r>
              <w:t>Constitutional or administrative responsibility for an identity.</w:t>
            </w:r>
          </w:p>
        </w:tc>
        <w:tc>
          <w:tcPr>
            <w:tcW w:type="dxa" w:w="3216"/>
            <w:vAlign w:val="center"/>
            <w:tcMar>
              <w:top w:w="80" w:type="dxa"/>
              <w:start w:w="120" w:type="dxa"/>
              <w:bottom w:w="80" w:type="dxa"/>
              <w:end w:w="120" w:type="dxa"/>
            </w:tcMar>
          </w:tcPr>
          <w:p>
            <w:r>
              <w:t>Only through governed transfer or lifecycle procedure.</w:t>
            </w:r>
          </w:p>
        </w:tc>
      </w:tr>
      <w:tr>
        <w:tc>
          <w:tcPr>
            <w:tcW w:type="dxa" w:w="3216"/>
            <w:vAlign w:val="center"/>
            <w:tcMar>
              <w:top w:w="80" w:type="dxa"/>
              <w:start w:w="120" w:type="dxa"/>
              <w:bottom w:w="80" w:type="dxa"/>
              <w:end w:w="120" w:type="dxa"/>
            </w:tcMar>
          </w:tcPr>
          <w:p>
            <w:r>
              <w:t>Presence</w:t>
            </w:r>
          </w:p>
        </w:tc>
        <w:tc>
          <w:tcPr>
            <w:tcW w:type="dxa" w:w="3216"/>
            <w:vAlign w:val="center"/>
            <w:tcMar>
              <w:top w:w="80" w:type="dxa"/>
              <w:start w:w="120" w:type="dxa"/>
              <w:bottom w:w="80" w:type="dxa"/>
              <w:end w:w="120" w:type="dxa"/>
            </w:tcMar>
          </w:tcPr>
          <w:p>
            <w:r>
              <w:t>A contextual embodiment through which an identity interacts.</w:t>
            </w:r>
          </w:p>
        </w:tc>
        <w:tc>
          <w:tcPr>
            <w:tcW w:type="dxa" w:w="3216"/>
            <w:vAlign w:val="center"/>
            <w:tcMar>
              <w:top w:w="80" w:type="dxa"/>
              <w:start w:w="120" w:type="dxa"/>
              <w:bottom w:w="80" w:type="dxa"/>
              <w:end w:w="120" w:type="dxa"/>
            </w:tcMar>
          </w:tcPr>
          <w:p>
            <w:r>
              <w:t>Yes; a Presence never becomes the identity.</w:t>
            </w:r>
          </w:p>
        </w:tc>
      </w:tr>
    </w:tbl>
    <w:p>
      <w:pPr>
        <w:pStyle w:val="Heading2"/>
      </w:pPr>
      <w:r>
        <w:t>3. Identity Record and Lifecycle</w:t>
      </w:r>
    </w:p>
    <w:p>
      <w:r>
        <w:t>The Identity Service is the authoritative owner of Identity Records. Each record contains immutable identifier, principal type, owner relationship, public-key or credential references, lifecycle state, authorization bindings, privacy scope, provenance, and audit references. Mutable aliases and display names are versioned metadata and never determine constitutional authority.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Lifecycle state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Permitted posture</w:t>
            </w:r>
          </w:p>
        </w:tc>
      </w:tr>
      <w:tr>
        <w:tc>
          <w:tcPr>
            <w:tcW w:type="dxa" w:w="3216"/>
            <w:vAlign w:val="center"/>
            <w:tcMar>
              <w:top w:w="80" w:type="dxa"/>
              <w:start w:w="120" w:type="dxa"/>
              <w:bottom w:w="80" w:type="dxa"/>
              <w:end w:w="120" w:type="dxa"/>
            </w:tcMar>
          </w:tcPr>
          <w:p>
            <w:r>
              <w:t>Proposed</w:t>
            </w:r>
          </w:p>
        </w:tc>
        <w:tc>
          <w:tcPr>
            <w:tcW w:type="dxa" w:w="3216"/>
            <w:vAlign w:val="center"/>
            <w:tcMar>
              <w:top w:w="80" w:type="dxa"/>
              <w:start w:w="120" w:type="dxa"/>
              <w:bottom w:w="80" w:type="dxa"/>
              <w:end w:w="120" w:type="dxa"/>
            </w:tcMar>
          </w:tcPr>
          <w:p>
            <w:r>
              <w:t>Identity observed or requested but not admitted.</w:t>
            </w:r>
          </w:p>
        </w:tc>
        <w:tc>
          <w:tcPr>
            <w:tcW w:type="dxa" w:w="3216"/>
            <w:vAlign w:val="center"/>
            <w:tcMar>
              <w:top w:w="80" w:type="dxa"/>
              <w:start w:w="120" w:type="dxa"/>
              <w:bottom w:w="80" w:type="dxa"/>
              <w:end w:w="120" w:type="dxa"/>
            </w:tcMar>
          </w:tcPr>
          <w:p>
            <w:r>
              <w:t>No authority; evidence collection only.</w:t>
            </w:r>
          </w:p>
        </w:tc>
      </w:tr>
      <w:tr>
        <w:tc>
          <w:tcPr>
            <w:tcW w:type="dxa" w:w="3216"/>
            <w:vAlign w:val="center"/>
            <w:tcMar>
              <w:top w:w="80" w:type="dxa"/>
              <w:start w:w="120" w:type="dxa"/>
              <w:bottom w:w="80" w:type="dxa"/>
              <w:end w:w="120" w:type="dxa"/>
            </w:tcMar>
          </w:tcPr>
          <w:p>
            <w:r>
              <w:t>Registered</w:t>
            </w:r>
          </w:p>
        </w:tc>
        <w:tc>
          <w:tcPr>
            <w:tcW w:type="dxa" w:w="3216"/>
            <w:vAlign w:val="center"/>
            <w:tcMar>
              <w:top w:w="80" w:type="dxa"/>
              <w:start w:w="120" w:type="dxa"/>
              <w:bottom w:w="80" w:type="dxa"/>
              <w:end w:w="120" w:type="dxa"/>
            </w:tcMar>
          </w:tcPr>
          <w:p>
            <w:r>
              <w:t>Identity record exists with minimum provenance.</w:t>
            </w:r>
          </w:p>
        </w:tc>
        <w:tc>
          <w:tcPr>
            <w:tcW w:type="dxa" w:w="3216"/>
            <w:vAlign w:val="center"/>
            <w:tcMar>
              <w:top w:w="80" w:type="dxa"/>
              <w:start w:w="120" w:type="dxa"/>
              <w:bottom w:w="80" w:type="dxa"/>
              <w:end w:w="120" w:type="dxa"/>
            </w:tcMar>
          </w:tcPr>
          <w:p>
            <w:r>
              <w:t>May authenticate only if policy allows.</w:t>
            </w:r>
          </w:p>
        </w:tc>
      </w:tr>
      <w:tr>
        <w:tc>
          <w:tcPr>
            <w:tcW w:type="dxa" w:w="3216"/>
            <w:vAlign w:val="center"/>
            <w:tcMar>
              <w:top w:w="80" w:type="dxa"/>
              <w:start w:w="120" w:type="dxa"/>
              <w:bottom w:w="80" w:type="dxa"/>
              <w:end w:w="120" w:type="dxa"/>
            </w:tcMar>
          </w:tcPr>
          <w:p>
            <w:r>
              <w:t>Verified</w:t>
            </w:r>
          </w:p>
        </w:tc>
        <w:tc>
          <w:tcPr>
            <w:tcW w:type="dxa" w:w="3216"/>
            <w:vAlign w:val="center"/>
            <w:tcMar>
              <w:top w:w="80" w:type="dxa"/>
              <w:start w:w="120" w:type="dxa"/>
              <w:bottom w:w="80" w:type="dxa"/>
              <w:end w:w="120" w:type="dxa"/>
            </w:tcMar>
          </w:tcPr>
          <w:p>
            <w:r>
              <w:t>Identity proof and required integrity checks pass.</w:t>
            </w:r>
          </w:p>
        </w:tc>
        <w:tc>
          <w:tcPr>
            <w:tcW w:type="dxa" w:w="3216"/>
            <w:vAlign w:val="center"/>
            <w:tcMar>
              <w:top w:w="80" w:type="dxa"/>
              <w:start w:w="120" w:type="dxa"/>
              <w:bottom w:w="80" w:type="dxa"/>
              <w:end w:w="120" w:type="dxa"/>
            </w:tcMar>
          </w:tcPr>
          <w:p>
            <w:r>
              <w:t>Eligible for explicitly granted authority.</w:t>
            </w:r>
          </w:p>
        </w:tc>
      </w:tr>
      <w:tr>
        <w:tc>
          <w:tcPr>
            <w:tcW w:type="dxa" w:w="3216"/>
            <w:vAlign w:val="center"/>
            <w:tcMar>
              <w:top w:w="80" w:type="dxa"/>
              <w:start w:w="120" w:type="dxa"/>
              <w:bottom w:w="80" w:type="dxa"/>
              <w:end w:w="120" w:type="dxa"/>
            </w:tcMar>
          </w:tcPr>
          <w:p>
            <w:r>
              <w:t>Active</w:t>
            </w:r>
          </w:p>
        </w:tc>
        <w:tc>
          <w:tcPr>
            <w:tcW w:type="dxa" w:w="3216"/>
            <w:vAlign w:val="center"/>
            <w:tcMar>
              <w:top w:w="80" w:type="dxa"/>
              <w:start w:w="120" w:type="dxa"/>
              <w:bottom w:w="80" w:type="dxa"/>
              <w:end w:w="120" w:type="dxa"/>
            </w:tcMar>
          </w:tcPr>
          <w:p>
            <w:r>
              <w:t>Identity is current, healthy enough, and usable.</w:t>
            </w:r>
          </w:p>
        </w:tc>
        <w:tc>
          <w:tcPr>
            <w:tcW w:type="dxa" w:w="3216"/>
            <w:vAlign w:val="center"/>
            <w:tcMar>
              <w:top w:w="80" w:type="dxa"/>
              <w:start w:w="120" w:type="dxa"/>
              <w:bottom w:w="80" w:type="dxa"/>
              <w:end w:w="120" w:type="dxa"/>
            </w:tcMar>
          </w:tcPr>
          <w:p>
            <w:r>
              <w:t>Normal scoped operation.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 or authentication confidence has fallen.</w:t>
            </w:r>
          </w:p>
        </w:tc>
        <w:tc>
          <w:tcPr>
            <w:tcW w:type="dxa" w:w="3216"/>
            <w:vAlign w:val="center"/>
            <w:tcMar>
              <w:top w:w="80" w:type="dxa"/>
              <w:start w:w="120" w:type="dxa"/>
              <w:bottom w:w="80" w:type="dxa"/>
              <w:end w:w="120" w:type="dxa"/>
            </w:tcMar>
          </w:tcPr>
          <w:p>
            <w:r>
              <w:t>Reduced disclosure and policy-defined step-up.</w:t>
            </w:r>
          </w:p>
        </w:tc>
      </w:tr>
      <w:tr>
        <w:tc>
          <w:tcPr>
            <w:tcW w:type="dxa" w:w="3216"/>
            <w:vAlign w:val="center"/>
            <w:tcMar>
              <w:top w:w="80" w:type="dxa"/>
              <w:start w:w="120" w:type="dxa"/>
              <w:bottom w:w="80" w:type="dxa"/>
              <w:end w:w="120" w:type="dxa"/>
            </w:tcMar>
          </w:tcPr>
          <w:p>
            <w:r>
              <w:t>Quarantined</w:t>
            </w:r>
          </w:p>
        </w:tc>
        <w:tc>
          <w:tcPr>
            <w:tcW w:type="dxa" w:w="3216"/>
            <w:vAlign w:val="center"/>
            <w:tcMar>
              <w:top w:w="80" w:type="dxa"/>
              <w:start w:w="120" w:type="dxa"/>
              <w:bottom w:w="80" w:type="dxa"/>
              <w:end w:w="120" w:type="dxa"/>
            </w:tcMar>
          </w:tcPr>
          <w:p>
            <w:r>
              <w:t>Compromise, anomaly, or integrity concern requires containment.</w:t>
            </w:r>
          </w:p>
        </w:tc>
        <w:tc>
          <w:tcPr>
            <w:tcW w:type="dxa" w:w="3216"/>
            <w:vAlign w:val="center"/>
            <w:tcMar>
              <w:top w:w="80" w:type="dxa"/>
              <w:start w:w="120" w:type="dxa"/>
              <w:bottom w:w="80" w:type="dxa"/>
              <w:end w:w="120" w:type="dxa"/>
            </w:tcMar>
          </w:tcPr>
          <w:p>
            <w:r>
              <w:t>No new protected work; forensic evidence and recovery only.</w:t>
            </w:r>
          </w:p>
        </w:tc>
      </w:tr>
      <w:tr>
        <w:tc>
          <w:tcPr>
            <w:tcW w:type="dxa" w:w="3216"/>
            <w:vAlign w:val="center"/>
            <w:tcMar>
              <w:top w:w="80" w:type="dxa"/>
              <w:start w:w="120" w:type="dxa"/>
              <w:bottom w:w="80" w:type="dxa"/>
              <w:end w:w="120" w:type="dxa"/>
            </w:tcMar>
          </w:tcPr>
          <w:p>
            <w:r>
              <w:t>Retired</w:t>
            </w:r>
          </w:p>
        </w:tc>
        <w:tc>
          <w:tcPr>
            <w:tcW w:type="dxa" w:w="3216"/>
            <w:vAlign w:val="center"/>
            <w:tcMar>
              <w:top w:w="80" w:type="dxa"/>
              <w:start w:w="120" w:type="dxa"/>
              <w:bottom w:w="80" w:type="dxa"/>
              <w:end w:w="120" w:type="dxa"/>
            </w:tcMar>
          </w:tcPr>
          <w:p>
            <w:r>
              <w:t>Identity is no longer active but history remains.</w:t>
            </w:r>
          </w:p>
        </w:tc>
        <w:tc>
          <w:tcPr>
            <w:tcW w:type="dxa" w:w="3216"/>
            <w:vAlign w:val="center"/>
            <w:tcMar>
              <w:top w:w="80" w:type="dxa"/>
              <w:start w:w="120" w:type="dxa"/>
              <w:bottom w:w="80" w:type="dxa"/>
              <w:end w:w="120" w:type="dxa"/>
            </w:tcMar>
          </w:tcPr>
          <w:p>
            <w:r>
              <w:t>No authentication or authority; audit and recovery reference retained.</w:t>
            </w:r>
          </w:p>
        </w:tc>
      </w:tr>
    </w:tbl>
    <w:p>
      <w:pPr>
        <w:pStyle w:val="Heading2"/>
      </w:pPr>
      <w:r>
        <w:t>4. Authentication and Session Confidence</w:t>
      </w:r>
    </w:p>
    <w:p>
      <w:r>
        <w:t>Authentication is continuous, evidence-based, and context-sensitive. Sessions contain issued time, expiry, participant identity, factor evidence class, liveness evidence, device and network context, assurance level, and current confidence. A session is not a standing authorization grant. Sensitive actions independently invoke current policy and, where required, step-up or Owner Authorization Ceremony verification.</w:t>
      </w:r>
    </w:p>
    <w:p>
      <w:pPr>
        <w:pStyle w:val="ListBullet"/>
        <w:spacing w:after="60"/>
      </w:pPr>
      <w:r>
        <w:t>Authentication evidence MAY include passkeys, security keys, signed device assertions, biometrics, PINs, certificates, network context, behavior, and approved future liveness signals.</w:t>
      </w:r>
    </w:p>
    <w:p>
      <w:pPr>
        <w:pStyle w:val="ListBullet"/>
        <w:spacing w:after="60"/>
      </w:pPr>
      <w:r>
        <w:t>HAL MUST distinguish identity confidence from authentication confidence. A failed factor does not create a new identity; it reduces confidence in the current session.</w:t>
      </w:r>
    </w:p>
    <w:p>
      <w:pPr>
        <w:pStyle w:val="ListBullet"/>
        <w:spacing w:after="60"/>
      </w:pPr>
      <w:r>
        <w:t>A lower confidence changes disclosure and action eligibility only through explicit policy; it never silently reclassifies the identity or grants a workaround.</w:t>
      </w:r>
    </w:p>
    <w:p>
      <w:pPr>
        <w:pStyle w:val="ListBullet"/>
        <w:spacing w:after="60"/>
      </w:pPr>
      <w:r>
        <w:t>High-risk and protected actions require fresh, independent evidence. Cached conversation context, IP address, voice alone, or historical trust is insufficient.</w:t>
      </w:r>
    </w:p>
    <w:p>
      <w:pPr>
        <w:pStyle w:val="Heading2"/>
      </w:pPr>
      <w:r>
        <w:t>5. Delegation and Attribution</w:t>
      </w:r>
    </w:p>
    <w:p>
      <w:r>
        <w:t>Delegation is an explicit object that preserves origin. It names delegator, recipient, scope, purpose, conditions, expiration, revocation path, allowed delegation depth, and audit references. Every delegated action records both the executing identity and the delegating chain. HAL never claims delegated actions as its own.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Control</w:t>
            </w:r>
          </w:p>
        </w:tc>
        <w:tc>
          <w:tcPr>
            <w:tcW w:type="dxa" w:w="4824"/>
            <w:shd w:fill="E8EEF5"/>
            <w:tcMar>
              <w:top w:w="80" w:type="dxa"/>
              <w:start w:w="120" w:type="dxa"/>
              <w:bottom w:w="80" w:type="dxa"/>
              <w:end w:w="120" w:type="dxa"/>
            </w:tcMar>
          </w:tcPr>
          <w:p>
            <w:r>
              <w:rPr>
                <w:b/>
              </w:rPr>
              <w:t>Requirement</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Capability- and resource-specific; no implicit role expansion.</w:t>
            </w:r>
          </w:p>
        </w:tc>
      </w:tr>
      <w:tr>
        <w:tc>
          <w:tcPr>
            <w:tcW w:type="dxa" w:w="4824"/>
            <w:vAlign w:val="center"/>
            <w:tcMar>
              <w:top w:w="80" w:type="dxa"/>
              <w:start w:w="120" w:type="dxa"/>
              <w:bottom w:w="80" w:type="dxa"/>
              <w:end w:w="120" w:type="dxa"/>
            </w:tcMar>
          </w:tcPr>
          <w:p>
            <w:r>
              <w:t>Duration</w:t>
            </w:r>
          </w:p>
        </w:tc>
        <w:tc>
          <w:tcPr>
            <w:tcW w:type="dxa" w:w="4824"/>
            <w:vAlign w:val="center"/>
            <w:tcMar>
              <w:top w:w="80" w:type="dxa"/>
              <w:start w:w="120" w:type="dxa"/>
              <w:bottom w:w="80" w:type="dxa"/>
              <w:end w:w="120" w:type="dxa"/>
            </w:tcMar>
          </w:tcPr>
          <w:p>
            <w:r>
              <w:t>Time, task completion, number of uses, or explicit revocation; expiry is enforced at invocation.</w:t>
            </w:r>
          </w:p>
        </w:tc>
      </w:tr>
      <w:tr>
        <w:tc>
          <w:tcPr>
            <w:tcW w:type="dxa" w:w="4824"/>
            <w:vAlign w:val="center"/>
            <w:tcMar>
              <w:top w:w="80" w:type="dxa"/>
              <w:start w:w="120" w:type="dxa"/>
              <w:bottom w:w="80" w:type="dxa"/>
              <w:end w:w="120" w:type="dxa"/>
            </w:tcMar>
          </w:tcPr>
          <w:p>
            <w:r>
              <w:t>Depth</w:t>
            </w:r>
          </w:p>
        </w:tc>
        <w:tc>
          <w:tcPr>
            <w:tcW w:type="dxa" w:w="4824"/>
            <w:vAlign w:val="center"/>
            <w:tcMar>
              <w:top w:w="80" w:type="dxa"/>
              <w:start w:w="120" w:type="dxa"/>
              <w:bottom w:w="80" w:type="dxa"/>
              <w:end w:w="120" w:type="dxa"/>
            </w:tcMar>
          </w:tcPr>
          <w:p>
            <w:r>
              <w:t>Bounded delegation chain; each link preserves the origin and cannot broaden scope.</w:t>
            </w:r>
          </w:p>
        </w:tc>
      </w:tr>
      <w:tr>
        <w:tc>
          <w:tcPr>
            <w:tcW w:type="dxa" w:w="4824"/>
            <w:vAlign w:val="center"/>
            <w:tcMar>
              <w:top w:w="80" w:type="dxa"/>
              <w:start w:w="120" w:type="dxa"/>
              <w:bottom w:w="80" w:type="dxa"/>
              <w:end w:w="120" w:type="dxa"/>
            </w:tcMar>
          </w:tcPr>
          <w:p>
            <w:r>
              <w:t>Revocation</w:t>
            </w:r>
          </w:p>
        </w:tc>
        <w:tc>
          <w:tcPr>
            <w:tcW w:type="dxa" w:w="4824"/>
            <w:vAlign w:val="center"/>
            <w:tcMar>
              <w:top w:w="80" w:type="dxa"/>
              <w:start w:w="120" w:type="dxa"/>
              <w:bottom w:w="80" w:type="dxa"/>
              <w:end w:w="120" w:type="dxa"/>
            </w:tcMar>
          </w:tcPr>
          <w:p>
            <w:r>
              <w:t>Immediate durable revocation takes precedence over cached envelopes.</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Commands, transactions, results, and audit records carry executor and delegation chain.</w:t>
            </w:r>
          </w:p>
        </w:tc>
      </w:tr>
      <w:tr>
        <w:tc>
          <w:tcPr>
            <w:tcW w:type="dxa" w:w="4824"/>
            <w:vAlign w:val="center"/>
            <w:tcMar>
              <w:top w:w="80" w:type="dxa"/>
              <w:start w:w="120" w:type="dxa"/>
              <w:bottom w:w="80" w:type="dxa"/>
              <w:end w:w="120" w:type="dxa"/>
            </w:tcMar>
          </w:tcPr>
          <w:p>
            <w:r>
              <w:t>Protected boundaries</w:t>
            </w:r>
          </w:p>
        </w:tc>
        <w:tc>
          <w:tcPr>
            <w:tcW w:type="dxa" w:w="4824"/>
            <w:vAlign w:val="center"/>
            <w:tcMar>
              <w:top w:w="80" w:type="dxa"/>
              <w:start w:w="120" w:type="dxa"/>
              <w:bottom w:w="80" w:type="dxa"/>
              <w:end w:w="120" w:type="dxa"/>
            </w:tcMar>
          </w:tcPr>
          <w:p>
            <w:r>
              <w:t>Constitutional Owner powers, protected recovery, constitutional amendments, and other protected actions remain non-delegable unless Book I explicitly permits the governed procedure.</w:t>
            </w:r>
          </w:p>
        </w:tc>
      </w:tr>
    </w:tbl>
    <w:p>
      <w:pPr>
        <w:pStyle w:val="Heading2"/>
      </w:pPr>
      <w:r>
        <w:t>6. Identity Health, Quarantine, and Recovery</w:t>
      </w:r>
    </w:p>
    <w:p>
      <w:r>
        <w:t>Identity health is an evidence-based security assessment, separate from identity itself. Indicators include credential compromise, certificate expiry, impossible travel, device cloning, replay evidence, voice mismatch, repeated failures, unexpected hardware, and integrity drift. A health concern can trigger disclosure reduction, factor step-up, authority suspension, or quarantine according to policy.</w:t>
      </w:r>
    </w:p>
    <w:p>
      <w:pPr>
        <w:pStyle w:val="ListBullet"/>
        <w:spacing w:after="60"/>
      </w:pPr>
      <w:r>
        <w:t>Quarantine preserves the identity record, evidence, and history; it restricts credentials, execution envelopes, and new work.</w:t>
      </w:r>
    </w:p>
    <w:p>
      <w:pPr>
        <w:pStyle w:val="ListBullet"/>
        <w:spacing w:after="60"/>
      </w:pPr>
      <w:r>
        <w:t>No identity may self-release from quarantine. Recovery verifies identity, integrity, policy, evidence, and required Owner authority before gradual re-admission.</w:t>
      </w:r>
    </w:p>
    <w:p>
      <w:pPr>
        <w:pStyle w:val="ListBullet"/>
        <w:spacing w:after="60"/>
      </w:pPr>
      <w:r>
        <w:t>Protected identities, including the Owner, use the Owner Authorization Ceremony and recovery policies; HAL may contain risk but cannot silently demote, replace, or restore constitutional authority.</w:t>
      </w:r>
    </w:p>
    <w:p>
      <w:pPr>
        <w:pStyle w:val="ListBullet"/>
        <w:spacing w:after="60"/>
      </w:pPr>
      <w:r>
        <w:t>Compromise does not propagate upward through ownership. A compromised phone, node, or Presence does not become a compromised Owner identity by assumption.</w:t>
      </w:r>
    </w:p>
    <w:p>
      <w:pPr>
        <w:pStyle w:val="Heading2"/>
      </w:pPr>
      <w:r>
        <w:t>7. Privacy, Relationship, and Presence Scope</w:t>
      </w:r>
    </w:p>
    <w:p>
      <w:r>
        <w:t>Human identities may have personal, shared, or delegated visibility scopes. Relationship, trust, and household membership are not authority grants. Presence context—room, device, audience, sensor state, and privacy characteristics—can influence safe disclosure but never proves identity or creates permission. The Identity Service supplies identity and scope facts; the Policy System determines whether an exchange is allowed.</w:t>
      </w:r>
    </w:p>
    <w:p>
      <w:pPr>
        <w:pStyle w:val="Heading2"/>
      </w:pPr>
      <w:r>
        <w:t>8. Continuity and Federation</w:t>
      </w:r>
    </w:p>
    <w:p>
      <w:r>
        <w:t>HAL’s identity remains one constitutional identity across Presences and governed nodes. A node, mobile device, external provider, or federated HAL is a separate identity and trust domain. Federation shares only Treaty-authorized information and capability use; it never merges constitutional ownership, private memory, or authority by default. The Constitutional Mirror binds the current identity, Owner authority, constitutional lineage, and active continuity state for recovery and migration.</w:t>
      </w:r>
    </w:p>
    <w:p>
      <w:pPr>
        <w:pStyle w:val="Heading2"/>
      </w:pPr>
      <w:r>
        <w:t>9.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Semantics</w:t>
            </w:r>
          </w:p>
        </w:tc>
      </w:tr>
      <w:tr>
        <w:tc>
          <w:tcPr>
            <w:tcW w:type="dxa" w:w="4824"/>
            <w:vAlign w:val="center"/>
            <w:tcMar>
              <w:top w:w="80" w:type="dxa"/>
              <w:start w:w="120" w:type="dxa"/>
              <w:bottom w:w="80" w:type="dxa"/>
              <w:end w:w="120" w:type="dxa"/>
            </w:tcMar>
          </w:tcPr>
          <w:p>
            <w:r>
              <w:t>Identity query</w:t>
            </w:r>
          </w:p>
        </w:tc>
        <w:tc>
          <w:tcPr>
            <w:tcW w:type="dxa" w:w="4824"/>
            <w:vAlign w:val="center"/>
            <w:tcMar>
              <w:top w:w="80" w:type="dxa"/>
              <w:start w:w="120" w:type="dxa"/>
              <w:bottom w:w="80" w:type="dxa"/>
              <w:end w:w="120" w:type="dxa"/>
            </w:tcMar>
          </w:tcPr>
          <w:p>
            <w:r>
              <w:t>Returns identity facts, lifecycle state, ownership, and permitted non-secret metadata.</w:t>
            </w:r>
          </w:p>
        </w:tc>
      </w:tr>
      <w:tr>
        <w:tc>
          <w:tcPr>
            <w:tcW w:type="dxa" w:w="4824"/>
            <w:vAlign w:val="center"/>
            <w:tcMar>
              <w:top w:w="80" w:type="dxa"/>
              <w:start w:w="120" w:type="dxa"/>
              <w:bottom w:w="80" w:type="dxa"/>
              <w:end w:w="120" w:type="dxa"/>
            </w:tcMar>
          </w:tcPr>
          <w:p>
            <w:r>
              <w:t>Authenticate / refresh session</w:t>
            </w:r>
          </w:p>
        </w:tc>
        <w:tc>
          <w:tcPr>
            <w:tcW w:type="dxa" w:w="4824"/>
            <w:vAlign w:val="center"/>
            <w:tcMar>
              <w:top w:w="80" w:type="dxa"/>
              <w:start w:w="120" w:type="dxa"/>
              <w:bottom w:w="80" w:type="dxa"/>
              <w:end w:w="120" w:type="dxa"/>
            </w:tcMar>
          </w:tcPr>
          <w:p>
            <w:r>
              <w:t>Accepts evidence; returns assurance, expiry, limitations, and audit reference.</w:t>
            </w:r>
          </w:p>
        </w:tc>
      </w:tr>
      <w:tr>
        <w:tc>
          <w:tcPr>
            <w:tcW w:type="dxa" w:w="4824"/>
            <w:vAlign w:val="center"/>
            <w:tcMar>
              <w:top w:w="80" w:type="dxa"/>
              <w:start w:w="120" w:type="dxa"/>
              <w:bottom w:w="80" w:type="dxa"/>
              <w:end w:w="120" w:type="dxa"/>
            </w:tcMar>
          </w:tcPr>
          <w:p>
            <w:r>
              <w:t>Evaluate delegation</w:t>
            </w:r>
          </w:p>
        </w:tc>
        <w:tc>
          <w:tcPr>
            <w:tcW w:type="dxa" w:w="4824"/>
            <w:vAlign w:val="center"/>
            <w:tcMar>
              <w:top w:w="80" w:type="dxa"/>
              <w:start w:w="120" w:type="dxa"/>
              <w:bottom w:w="80" w:type="dxa"/>
              <w:end w:w="120" w:type="dxa"/>
            </w:tcMar>
          </w:tcPr>
          <w:p>
            <w:r>
              <w:t>Checks current scope, conditions, revocation, chain depth, and policy.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Produces a short-lived, non-transferable delegation binding for one capability invocation or transaction.</w:t>
            </w:r>
          </w:p>
        </w:tc>
      </w:tr>
      <w:tr>
        <w:tc>
          <w:tcPr>
            <w:tcW w:type="dxa" w:w="4824"/>
            <w:vAlign w:val="center"/>
            <w:tcMar>
              <w:top w:w="80" w:type="dxa"/>
              <w:start w:w="120" w:type="dxa"/>
              <w:bottom w:w="80" w:type="dxa"/>
              <w:end w:w="120" w:type="dxa"/>
            </w:tcMar>
          </w:tcPr>
          <w:p>
            <w:r>
              <w:t>Report identity evidence</w:t>
            </w:r>
          </w:p>
        </w:tc>
        <w:tc>
          <w:tcPr>
            <w:tcW w:type="dxa" w:w="4824"/>
            <w:vAlign w:val="center"/>
            <w:tcMar>
              <w:top w:w="80" w:type="dxa"/>
              <w:start w:w="120" w:type="dxa"/>
              <w:bottom w:w="80" w:type="dxa"/>
              <w:end w:w="120" w:type="dxa"/>
            </w:tcMar>
          </w:tcPr>
          <w:p>
            <w:r>
              <w:t>Adds health, compromise, integrity, or recovery evidence without changing authority directly.</w:t>
            </w:r>
          </w:p>
        </w:tc>
      </w:tr>
      <w:tr>
        <w:tc>
          <w:tcPr>
            <w:tcW w:type="dxa" w:w="4824"/>
            <w:vAlign w:val="center"/>
            <w:tcMar>
              <w:top w:w="80" w:type="dxa"/>
              <w:start w:w="120" w:type="dxa"/>
              <w:bottom w:w="80" w:type="dxa"/>
              <w:end w:w="120" w:type="dxa"/>
            </w:tcMar>
          </w:tcPr>
          <w:p>
            <w:r>
              <w:t>Quarantine / recover identity</w:t>
            </w:r>
          </w:p>
        </w:tc>
        <w:tc>
          <w:tcPr>
            <w:tcW w:type="dxa" w:w="4824"/>
            <w:vAlign w:val="center"/>
            <w:tcMar>
              <w:top w:w="80" w:type="dxa"/>
              <w:start w:w="120" w:type="dxa"/>
              <w:bottom w:w="80" w:type="dxa"/>
              <w:end w:w="120" w:type="dxa"/>
            </w:tcMar>
          </w:tcPr>
          <w:p>
            <w:r>
              <w:t>Policy-governed state transition requiring required evidence and protected authorization.</w:t>
            </w:r>
          </w:p>
        </w:tc>
      </w:tr>
    </w:tbl>
    <w:p>
      <w:pPr>
        <w:pStyle w:val="Heading2"/>
      </w:pPr>
      <w:r>
        <w:t>10. Guarantees</w:t>
      </w:r>
    </w:p>
    <w:p>
      <w:pPr>
        <w:pStyle w:val="ListBullet"/>
        <w:spacing w:after="60"/>
      </w:pPr>
      <w:r>
        <w:t>Every meaningful request, action, and result MUST be attributable to a verified or explicitly uncertain identity context.</w:t>
      </w:r>
    </w:p>
    <w:p>
      <w:pPr>
        <w:pStyle w:val="ListBullet"/>
        <w:spacing w:after="60"/>
      </w:pPr>
      <w:r>
        <w:t>Identity, authentication, trust, authority, and ownership MUST remain independent dimensions.</w:t>
      </w:r>
    </w:p>
    <w:p>
      <w:pPr>
        <w:pStyle w:val="ListBullet"/>
        <w:spacing w:after="60"/>
      </w:pPr>
      <w:r>
        <w:t>Authority MUST flow through explicit policy or delegation, never relationship, proximity, provider capability, or local network location.</w:t>
      </w:r>
    </w:p>
    <w:p>
      <w:pPr>
        <w:pStyle w:val="ListBullet"/>
        <w:spacing w:after="60"/>
      </w:pPr>
      <w:r>
        <w:t>Delegated authority MUST be scoped, attributable, revocable, and time-bounded.</w:t>
      </w:r>
    </w:p>
    <w:p>
      <w:pPr>
        <w:pStyle w:val="ListBullet"/>
        <w:spacing w:after="60"/>
      </w:pPr>
      <w:r>
        <w:t>Quarantine and recovery MUST preserve evidence and MUST NOT permit self-release.</w:t>
      </w:r>
    </w:p>
    <w:p>
      <w:pPr>
        <w:pStyle w:val="ListBullet"/>
        <w:spacing w:after="60"/>
      </w:pPr>
      <w:r>
        <w:t>HAL MUST preserve one constitutional identity even while interfaces, devices, services, and hosts change.</w:t>
      </w:r>
    </w:p>
    <w:p>
      <w:pPr>
        <w:pStyle w:val="Heading2"/>
      </w:pPr>
      <w:r>
        <w:t>11.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4 implementation coverage</w:t>
            </w:r>
          </w:p>
        </w:tc>
      </w:tr>
      <w:tr>
        <w:tc>
          <w:tcPr>
            <w:tcW w:type="dxa" w:w="4824"/>
            <w:vAlign w:val="center"/>
            <w:tcMar>
              <w:top w:w="80" w:type="dxa"/>
              <w:start w:w="120" w:type="dxa"/>
              <w:bottom w:w="80" w:type="dxa"/>
              <w:end w:w="120" w:type="dxa"/>
            </w:tcMar>
          </w:tcPr>
          <w:p>
            <w:r>
              <w:t>6, 19, 25</w:t>
            </w:r>
          </w:p>
        </w:tc>
        <w:tc>
          <w:tcPr>
            <w:tcW w:type="dxa" w:w="4824"/>
            <w:vAlign w:val="center"/>
            <w:tcMar>
              <w:top w:w="80" w:type="dxa"/>
              <w:start w:w="120" w:type="dxa"/>
              <w:bottom w:w="80" w:type="dxa"/>
              <w:end w:w="120" w:type="dxa"/>
            </w:tcMar>
          </w:tcPr>
          <w:p>
            <w:r>
              <w:t>Immutable identity, node identity/lifecycle, policy-governed evaluation and mutation.</w:t>
            </w:r>
          </w:p>
        </w:tc>
      </w:tr>
      <w:tr>
        <w:tc>
          <w:tcPr>
            <w:tcW w:type="dxa" w:w="4824"/>
            <w:vAlign w:val="center"/>
            <w:tcMar>
              <w:top w:w="80" w:type="dxa"/>
              <w:start w:w="120" w:type="dxa"/>
              <w:bottom w:w="80" w:type="dxa"/>
              <w:end w:w="120" w:type="dxa"/>
            </w:tcMar>
          </w:tcPr>
          <w:p>
            <w:r>
              <w:t>27, 29, 32</w:t>
            </w:r>
          </w:p>
        </w:tc>
        <w:tc>
          <w:tcPr>
            <w:tcW w:type="dxa" w:w="4824"/>
            <w:vAlign w:val="center"/>
            <w:tcMar>
              <w:top w:w="80" w:type="dxa"/>
              <w:start w:w="120" w:type="dxa"/>
              <w:bottom w:w="80" w:type="dxa"/>
              <w:end w:w="120" w:type="dxa"/>
            </w:tcMar>
          </w:tcPr>
          <w:p>
            <w:r>
              <w:t>Universal identities, continuous authentication, delegation, identity quarantine, secure communication.</w:t>
            </w:r>
          </w:p>
        </w:tc>
      </w:tr>
      <w:tr>
        <w:tc>
          <w:tcPr>
            <w:tcW w:type="dxa" w:w="4824"/>
            <w:vAlign w:val="center"/>
            <w:tcMar>
              <w:top w:w="80" w:type="dxa"/>
              <w:start w:w="120" w:type="dxa"/>
              <w:bottom w:w="80" w:type="dxa"/>
              <w:end w:w="120" w:type="dxa"/>
            </w:tcMar>
          </w:tcPr>
          <w:p>
            <w:r>
              <w:t>39, 45, 47</w:t>
            </w:r>
          </w:p>
        </w:tc>
        <w:tc>
          <w:tcPr>
            <w:tcW w:type="dxa" w:w="4824"/>
            <w:vAlign w:val="center"/>
            <w:tcMar>
              <w:top w:w="80" w:type="dxa"/>
              <w:start w:w="120" w:type="dxa"/>
              <w:bottom w:w="80" w:type="dxa"/>
              <w:end w:w="120" w:type="dxa"/>
            </w:tcMar>
          </w:tcPr>
          <w:p>
            <w:r>
              <w:t>Scoped secrets and credentials, one identity across Presences, secure node identity and distributed continuity.</w:t>
            </w:r>
          </w:p>
        </w:tc>
      </w:tr>
      <w:tr>
        <w:tc>
          <w:tcPr>
            <w:tcW w:type="dxa" w:w="4824"/>
            <w:vAlign w:val="center"/>
            <w:tcMar>
              <w:top w:w="80" w:type="dxa"/>
              <w:start w:w="120" w:type="dxa"/>
              <w:bottom w:w="80" w:type="dxa"/>
              <w:end w:w="120" w:type="dxa"/>
            </w:tcMar>
          </w:tcPr>
          <w:p>
            <w:r>
              <w:t>48–49, 51</w:t>
            </w:r>
          </w:p>
        </w:tc>
        <w:tc>
          <w:tcPr>
            <w:tcW w:type="dxa" w:w="4824"/>
            <w:vAlign w:val="center"/>
            <w:tcMar>
              <w:top w:w="80" w:type="dxa"/>
              <w:start w:w="120" w:type="dxa"/>
              <w:bottom w:w="80" w:type="dxa"/>
              <w:end w:w="120" w:type="dxa"/>
            </w:tcMar>
          </w:tcPr>
          <w:p>
            <w:r>
              <w:t>Single Owner, explicit delegation, sovereign trust domains, Treaty boundaries, Self Model and Constitutional Mirror.</w:t>
            </w:r>
          </w:p>
        </w:tc>
      </w:tr>
    </w:tbl>
    <w:p>
      <w:pPr>
        <w:pStyle w:val="Heading2"/>
      </w:pPr>
      <w:r>
        <w:t>12.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Separation of identity, authentication, trust, authority, and ownership is preserved.</w:t>
            </w:r>
          </w:p>
        </w:tc>
      </w:tr>
      <w:tr>
        <w:tc>
          <w:tcPr>
            <w:tcW w:type="dxa" w:w="4824"/>
            <w:vAlign w:val="center"/>
            <w:tcMar>
              <w:top w:w="80" w:type="dxa"/>
              <w:start w:w="120" w:type="dxa"/>
              <w:bottom w:w="80" w:type="dxa"/>
              <w:end w:w="120" w:type="dxa"/>
            </w:tcMar>
          </w:tcPr>
          <w:p>
            <w:r>
              <w:t>Security posture</w:t>
            </w:r>
          </w:p>
        </w:tc>
        <w:tc>
          <w:tcPr>
            <w:tcW w:type="dxa" w:w="4824"/>
            <w:vAlign w:val="center"/>
            <w:tcMar>
              <w:top w:w="80" w:type="dxa"/>
              <w:start w:w="120" w:type="dxa"/>
              <w:bottom w:w="80" w:type="dxa"/>
              <w:end w:w="120" w:type="dxa"/>
            </w:tcMar>
          </w:tcPr>
          <w:p>
            <w:r>
              <w:t>Continuous authentication, scoped delegation, quarantine, and recovery are explicit.</w:t>
            </w:r>
          </w:p>
        </w:tc>
      </w:tr>
      <w:tr>
        <w:tc>
          <w:tcPr>
            <w:tcW w:type="dxa" w:w="4824"/>
            <w:vAlign w:val="center"/>
            <w:tcMar>
              <w:top w:w="80" w:type="dxa"/>
              <w:start w:w="120" w:type="dxa"/>
              <w:bottom w:w="80" w:type="dxa"/>
              <w:end w:w="120" w:type="dxa"/>
            </w:tcMar>
          </w:tcPr>
          <w:p>
            <w:r>
              <w:t>Privacy posture</w:t>
            </w:r>
          </w:p>
        </w:tc>
        <w:tc>
          <w:tcPr>
            <w:tcW w:type="dxa" w:w="4824"/>
            <w:vAlign w:val="center"/>
            <w:tcMar>
              <w:top w:w="80" w:type="dxa"/>
              <w:start w:w="120" w:type="dxa"/>
              <w:bottom w:w="80" w:type="dxa"/>
              <w:end w:w="120" w:type="dxa"/>
            </w:tcMar>
          </w:tcPr>
          <w:p>
            <w:r>
              <w:t>Presence and relationship context influence disclosure only through policy.</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implements already locked identity and delegation rules.</w:t>
            </w:r>
          </w:p>
        </w:tc>
      </w:tr>
    </w:tbl>
    <w:p>
      <w:pPr>
        <w:pStyle w:val="Heading2"/>
      </w:pPr>
      <w:r>
        <w:t>13. Completion Status</w:t>
      </w:r>
    </w:p>
    <w:p>
      <w:r>
        <w:t>Chapter 4 is complete. Chapter 5 will specify the Authority and Delegation enforcement model, including policy evaluation and protected authorization paths that consume the identity facts defined here.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