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6 — Intent and Planning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 rewrite;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Translate Owner-defined purpose into living, reviewable plans while preserving the distinction between destination, planning, execution, and outcome.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12, 16, 20–21, 31, 35, 46, 54–57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Translate Owner-defined purpose into living, reviewable plans while preserving the distinction between destination, planning, execution, and outcome.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 Manager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 Objects, hierarchy, approval state, health and lifecycle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Planning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Plan Graphs, alternatives, dependencies and replanning history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Goal Health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Progress, momentum, blockers, confidence, risk and alignment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Initiative Governor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Initiative budgets, interruption policy and permitted proactive work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Purpose, motivation, desired outcome, constraints, horizon, review cadence, confidence and Owner approval.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Plan Graph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Strategies, milestones, tasks, dependencies, assumptions, verification and approved flexibility.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Intent Conflict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Competing intentions, affected outcomes, tradeoffs and required Owner judgment.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Compass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Evidence-backed representation of stated enduring priorities; never an independent source of values.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Capture the Owner’s stated purpose without silently promoting ordinary conversation into a durable goal.</w:t>
      </w:r>
    </w:p>
    <w:p>
      <w:pPr>
        <w:pStyle w:val="ListNumber"/>
      </w:pPr>
      <w:r>
        <w:t>Classify intent as immediate, project, strategic or enduring and request approval where persistence or autonomy changes.</w:t>
      </w:r>
    </w:p>
    <w:p>
      <w:pPr>
        <w:pStyle w:val="ListNumber"/>
      </w:pPr>
      <w:r>
        <w:t>Generate alternatives and a Plan Graph with dependencies, risks, evidence needs, verification and resource estimates.</w:t>
      </w:r>
    </w:p>
    <w:p>
      <w:pPr>
        <w:pStyle w:val="ListNumber"/>
      </w:pPr>
      <w:r>
        <w:t>Evaluate alignment, goal health, policy, authority and conflicts before work reaches execution.</w:t>
      </w:r>
    </w:p>
    <w:p>
      <w:pPr>
        <w:pStyle w:val="ListNumber"/>
      </w:pPr>
      <w:r>
        <w:t>Permit replanning inside approved flexibility; return material destination changes to the Owner.</w:t>
      </w:r>
    </w:p>
    <w:p>
      <w:pPr>
        <w:pStyle w:val="ListNumber"/>
      </w:pPr>
      <w:r>
        <w:t>Record outcomes and revise plans without rewriting the originating intent or historical decisions.</w:t>
      </w:r>
    </w:p>
    <w:p>
      <w:pPr>
        <w:pStyle w:val="Heading2"/>
      </w:pPr>
      <w:r>
        <w:t>5. Interfaces and Contracts</w:t>
      </w:r>
    </w:p>
    <w:p>
      <w:r>
        <w:t>All commands, queries and events are typed, versioned, authenticated and correlated. Commands request mutation from the authoritative owner; queries declare consistency and privacy scope; immutable events record completed facts with identity, causation, authorization, provenance and integrity metadata.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Ambiguous destination: ask or preserve a provisional Intent Object; do not invent purpose.</w:t>
      </w:r>
    </w:p>
    <w:p>
      <w:pPr>
        <w:pStyle w:val="ListBullet"/>
      </w:pPr>
      <w:r>
        <w:t>Conflicting goals: surface the conflict and tradeoffs; do not silently choose a value hierarchy.</w:t>
      </w:r>
    </w:p>
    <w:p>
      <w:pPr>
        <w:pStyle w:val="ListBullet"/>
      </w:pPr>
      <w:r>
        <w:t>Stalled work: update goal health and recommend options; inactivity is not permission to retire the goal.</w:t>
      </w:r>
    </w:p>
    <w:p>
      <w:pPr>
        <w:pStyle w:val="ListBullet"/>
      </w:pPr>
      <w:r>
        <w:t>Missing resources or providers: replan or defer without weakening policy or authority.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Only the Owner defines, adopts, materially changes or retires durable goals.</w:t>
      </w:r>
    </w:p>
    <w:p>
      <w:pPr>
        <w:pStyle w:val="ListBullet"/>
      </w:pPr>
      <w:r>
        <w:t>Every autonomous action traces to an approved intent and current delegation.</w:t>
      </w:r>
    </w:p>
    <w:p>
      <w:pPr>
        <w:pStyle w:val="ListBullet"/>
      </w:pPr>
      <w:r>
        <w:t>Plans may evolve; the destination and historical intent remain attributable.</w:t>
      </w:r>
    </w:p>
    <w:p>
      <w:pPr>
        <w:pStyle w:val="ListBullet"/>
      </w:pPr>
      <w:r>
        <w:t>Initiative is bounded by policy, authority, attention budget and Owner-configured tolerance.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authority, reinterpret Owner intent, erase dissent, or treat a derived projection as authoritative state.</w:t>
      </w:r>
    </w:p>
    <w:p>
      <w:pPr>
        <w:pStyle w:val="ListBullet"/>
      </w:pPr>
      <w:r>
        <w:t>No degraded dependency may silently change policy, identity, trust, authentication, verification or evidence requirements.</w:t>
      </w:r>
    </w:p>
    <w:p>
      <w:pPr>
        <w:pStyle w:val="ListBullet"/>
      </w:pPr>
      <w:r>
        <w:t>No provider, model, node, Presence, secret, relationship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correlation, identity, policy/authority context, state versions, decisions, limitations, failures, recovery and outcomes. Verification is risk-scaled and produces durable evidence. Status reporting is derived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directly implements Decisions 12, 16, 20–21, 31, 35, 46, 54–57. The v0.2 rewrite restores the source-specific objects, workflows and guarantees missing from v0.1. Final disposition is recorded in the separate source-alignment and constitutional-audit reports.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