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 Intent and Planning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12, 16, 20–21, 31, 35, 46, 54–57</w:t>
            </w:r>
          </w:p>
        </w:tc>
      </w:tr>
    </w:tbl>
    <w:p>
      <w:pPr>
        <w:pStyle w:val="Heading2"/>
      </w:pPr>
      <w:r>
        <w:t>1. Purpose</w:t>
      </w:r>
    </w:p>
    <w:p>
      <w:r>
        <w:t>Owner intentions become versioned Intent Objects and adaptive plans without giving the planner authority to redefine purpose.</w:t>
      </w:r>
    </w:p>
    <w:p>
      <w:pPr>
        <w:pStyle w:val="Heading2"/>
      </w:pPr>
      <w:r>
        <w:t>2. Architecture</w:t>
      </w:r>
    </w:p>
    <w:p>
      <w:pPr>
        <w:pStyle w:val="ListBullet"/>
        <w:spacing w:after="60"/>
      </w:pPr>
      <w:r>
        <w:t>Intent hierarchy: vision, goal, objective, project, task, and execution request.</w:t>
      </w:r>
    </w:p>
    <w:p>
      <w:pPr>
        <w:pStyle w:val="ListBullet"/>
        <w:spacing w:after="60"/>
      </w:pPr>
      <w:r>
        <w:t>Plans are derived, versioned, dependency-aware, and traceable to approved intent.</w:t>
      </w:r>
    </w:p>
    <w:p>
      <w:pPr>
        <w:pStyle w:val="ListBullet"/>
        <w:spacing w:after="60"/>
      </w:pPr>
      <w:r>
        <w:t>Intent conflict is surfaced; material intent change requires Owner approval.</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Intent query</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Plan proposal</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Plan validation</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Plan revision</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HAL optimizes the path, never defines the destination.</w:t>
      </w:r>
    </w:p>
    <w:p>
      <w:pPr>
        <w:pStyle w:val="ListBullet"/>
        <w:spacing w:after="60"/>
      </w:pPr>
      <w:r>
        <w:t>Plans preserve their originating intent and evidence.</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12, 16, 20–21, 31, 35, 46, 54–57.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