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 — Cognitive Orchestration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Coordinate models, specialists, retrieval, evidence and review as one governed intelligence without allowing any component to become an unaccountable decision-maker.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7, 9, 13–16, 26, 28, 32, 34, 47, 51, 55–56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Coordinate models, specialists, retrieval, evidence and review as one governed intelligence without allowing any component to become an unaccountable decision-maker.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Cognitive Orchestrator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Reasoning session, specialist assignments, context boundaries and synthesis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Synthesizer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hypotheses, support, contradiction and confidence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Peer Review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Independent subsystem review and disagreement records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Model/Provider Router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Fitness-based selection under capability, privacy, cost, policy and health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Reasoning Session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Question, intent, evidence set, assumptions, participants, model/provider provenance and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Hypothesis Set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explanations with supporting and contradicting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Specialist Contribution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Bounded claim or artifact with identity, domain, limitations and provenance.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Disagreement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Subsystem positions, evidence, materiality and escalation disposition.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Establish intent, risk, required evidence and disclosure scope.</w:t>
      </w:r>
    </w:p>
    <w:p>
      <w:pPr>
        <w:pStyle w:val="ListNumber"/>
      </w:pPr>
      <w:r>
        <w:t>Select the smallest adequate specialists and providers through capability contracts.</w:t>
      </w:r>
    </w:p>
    <w:p>
      <w:pPr>
        <w:pStyle w:val="ListNumber"/>
      </w:pPr>
      <w:r>
        <w:t>Maintain separate hypotheses and actively seek disconfirming evidence for consequential conclusions.</w:t>
      </w:r>
    </w:p>
    <w:p>
      <w:pPr>
        <w:pStyle w:val="ListNumber"/>
      </w:pPr>
      <w:r>
        <w:t>Run cross-subsystem review when policy, trust, learning, planning or safety materially disagree.</w:t>
      </w:r>
    </w:p>
    <w:p>
      <w:pPr>
        <w:pStyle w:val="ListNumber"/>
      </w:pPr>
      <w:r>
        <w:t>Select an honest response mode—inform, recommend, explore, ask, verify, escalate or decline—and state assumptions and confidence.</w:t>
      </w:r>
    </w:p>
    <w:p>
      <w:pPr>
        <w:pStyle w:val="ListNumber"/>
      </w:pPr>
      <w:r>
        <w:t>Attach the result to a Decision Object; never let a model directly mutate protected state.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Model failure: preserve session evidence and route only to compatible alternatives.</w:t>
      </w:r>
    </w:p>
    <w:p>
      <w:pPr>
        <w:pStyle w:val="ListBullet"/>
      </w:pPr>
      <w:r>
        <w:t>Context fragmentation: lower confidence and rebuild context from authoritative records.</w:t>
      </w:r>
    </w:p>
    <w:p>
      <w:pPr>
        <w:pStyle w:val="ListBullet"/>
      </w:pPr>
      <w:r>
        <w:t>Subsystem disagreement: retain dissent and escalate when material; never hide it in synthesis.</w:t>
      </w:r>
    </w:p>
    <w:p>
      <w:pPr>
        <w:pStyle w:val="ListBullet"/>
      </w:pPr>
      <w:r>
        <w:t>Calibration drift: report cognitive-health degradation and tighten evidence requirements through policy.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Models and specialists produce attempts, evidence and recommendations—not constitutional authority.</w:t>
      </w:r>
    </w:p>
    <w:p>
      <w:pPr>
        <w:pStyle w:val="ListBullet"/>
      </w:pPr>
      <w:r>
        <w:t>Consequential synthesis is reconstructable from evidence, participants and assumptions.</w:t>
      </w:r>
    </w:p>
    <w:p>
      <w:pPr>
        <w:pStyle w:val="ListBullet"/>
      </w:pPr>
      <w:r>
        <w:t>Uncertainty is a legitimate result and scales with consequence.</w:t>
      </w:r>
    </w:p>
    <w:p>
      <w:pPr>
        <w:pStyle w:val="ListBullet"/>
      </w:pPr>
      <w:r>
        <w:t>HAL describes its reasoning from governed evidence, never model improvisation.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7, 9, 13–16, 26, 28, 32, 34, 47, 51, 55–56.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