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7 — Cognitive Orchestration</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Architect draft complete; constitutional and engineering review complete</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0.1</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None required</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7, 9–10, 13–16, 26, 28, 32–34, 47, 51, 55–56</w:t>
            </w:r>
          </w:p>
        </w:tc>
      </w:tr>
    </w:tbl>
    <w:p>
      <w:pPr>
        <w:pStyle w:val="Heading2"/>
      </w:pPr>
      <w:r>
        <w:t>1. Purpose</w:t>
      </w:r>
    </w:p>
    <w:p>
      <w:r>
        <w:t>Cognitive services coordinate evidence, retrieval, planning, models, tools, and specialist outputs while remaining governed by policy and authority.</w:t>
      </w:r>
    </w:p>
    <w:p>
      <w:pPr>
        <w:pStyle w:val="Heading2"/>
      </w:pPr>
      <w:r>
        <w:t>2. Architecture</w:t>
      </w:r>
    </w:p>
    <w:p>
      <w:pPr>
        <w:pStyle w:val="ListBullet"/>
        <w:spacing w:after="60"/>
      </w:pPr>
      <w:r>
        <w:t>Specialists return bounded evidence and proposals, not protected state mutations.</w:t>
      </w:r>
    </w:p>
    <w:p>
      <w:pPr>
        <w:pStyle w:val="ListBullet"/>
        <w:spacing w:after="60"/>
      </w:pPr>
      <w:r>
        <w:t>Orchestration records model/provider choice, context, uncertainty, and synthesis rationale.</w:t>
      </w:r>
    </w:p>
    <w:p>
      <w:pPr>
        <w:pStyle w:val="ListBullet"/>
        <w:spacing w:after="60"/>
      </w:pPr>
      <w:r>
        <w:t>Cross-service disagreement becomes evidence and may trigger verification or escalation.</w:t>
      </w:r>
    </w:p>
    <w:p>
      <w:pPr>
        <w:pStyle w:val="Heading2"/>
      </w:pPr>
      <w:r>
        <w:t>3. Interfaces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Interface</w:t>
            </w:r>
          </w:p>
        </w:tc>
        <w:tc>
          <w:tcPr>
            <w:tcW w:type="dxa" w:w="4824"/>
            <w:shd w:fill="E8EEF5"/>
            <w:tcMar>
              <w:top w:w="80" w:type="dxa"/>
              <w:start w:w="120" w:type="dxa"/>
              <w:bottom w:w="80" w:type="dxa"/>
              <w:end w:w="120" w:type="dxa"/>
            </w:tcMar>
          </w:tcPr>
          <w:p>
            <w:r>
              <w:rPr>
                <w:b/>
              </w:rPr>
              <w:t>Contract</w:t>
            </w:r>
          </w:p>
        </w:tc>
      </w:tr>
      <w:tr>
        <w:tc>
          <w:tcPr>
            <w:tcW w:type="dxa" w:w="4824"/>
            <w:vAlign w:val="center"/>
            <w:tcMar>
              <w:top w:w="80" w:type="dxa"/>
              <w:start w:w="120" w:type="dxa"/>
              <w:bottom w:w="80" w:type="dxa"/>
              <w:end w:w="120" w:type="dxa"/>
            </w:tcMar>
          </w:tcPr>
          <w:p>
            <w:r>
              <w:t>Cognitive request</w:t>
            </w:r>
          </w:p>
        </w:tc>
        <w:tc>
          <w:tcPr>
            <w:tcW w:type="dxa" w:w="4824"/>
            <w:vAlign w:val="center"/>
            <w:tcMar>
              <w:top w:w="80" w:type="dxa"/>
              <w:start w:w="120" w:type="dxa"/>
              <w:bottom w:w="80" w:type="dxa"/>
              <w:end w:w="120" w:type="dxa"/>
            </w:tcMar>
          </w:tcPr>
          <w:p>
            <w:r>
              <w:t>Typed, authenticated, authorized, auditable, and versioned.</w:t>
            </w:r>
          </w:p>
        </w:tc>
      </w:tr>
      <w:tr>
        <w:tc>
          <w:tcPr>
            <w:tcW w:type="dxa" w:w="4824"/>
            <w:vAlign w:val="center"/>
            <w:tcMar>
              <w:top w:w="80" w:type="dxa"/>
              <w:start w:w="120" w:type="dxa"/>
              <w:bottom w:w="80" w:type="dxa"/>
              <w:end w:w="120" w:type="dxa"/>
            </w:tcMar>
          </w:tcPr>
          <w:p>
            <w:r>
              <w:t>Specialist evidence</w:t>
            </w:r>
          </w:p>
        </w:tc>
        <w:tc>
          <w:tcPr>
            <w:tcW w:type="dxa" w:w="4824"/>
            <w:vAlign w:val="center"/>
            <w:tcMar>
              <w:top w:w="80" w:type="dxa"/>
              <w:start w:w="120" w:type="dxa"/>
              <w:bottom w:w="80" w:type="dxa"/>
              <w:end w:w="120" w:type="dxa"/>
            </w:tcMar>
          </w:tcPr>
          <w:p>
            <w:r>
              <w:t>Typed, authenticated, authorized, auditable, and versioned.</w:t>
            </w:r>
          </w:p>
        </w:tc>
      </w:tr>
      <w:tr>
        <w:tc>
          <w:tcPr>
            <w:tcW w:type="dxa" w:w="4824"/>
            <w:vAlign w:val="center"/>
            <w:tcMar>
              <w:top w:w="80" w:type="dxa"/>
              <w:start w:w="120" w:type="dxa"/>
              <w:bottom w:w="80" w:type="dxa"/>
              <w:end w:w="120" w:type="dxa"/>
            </w:tcMar>
          </w:tcPr>
          <w:p>
            <w:r>
              <w:t>Synthesis result</w:t>
            </w:r>
          </w:p>
        </w:tc>
        <w:tc>
          <w:tcPr>
            <w:tcW w:type="dxa" w:w="4824"/>
            <w:vAlign w:val="center"/>
            <w:tcMar>
              <w:top w:w="80" w:type="dxa"/>
              <w:start w:w="120" w:type="dxa"/>
              <w:bottom w:w="80" w:type="dxa"/>
              <w:end w:w="120" w:type="dxa"/>
            </w:tcMar>
          </w:tcPr>
          <w:p>
            <w:r>
              <w:t>Typed, authenticated, authorized, auditable, and versioned.</w:t>
            </w:r>
          </w:p>
        </w:tc>
      </w:tr>
      <w:tr>
        <w:tc>
          <w:tcPr>
            <w:tcW w:type="dxa" w:w="4824"/>
            <w:vAlign w:val="center"/>
            <w:tcMar>
              <w:top w:w="80" w:type="dxa"/>
              <w:start w:w="120" w:type="dxa"/>
              <w:bottom w:w="80" w:type="dxa"/>
              <w:end w:w="120" w:type="dxa"/>
            </w:tcMar>
          </w:tcPr>
          <w:p>
            <w:r>
              <w:t>Reasoning review</w:t>
            </w:r>
          </w:p>
        </w:tc>
        <w:tc>
          <w:tcPr>
            <w:tcW w:type="dxa" w:w="4824"/>
            <w:vAlign w:val="center"/>
            <w:tcMar>
              <w:top w:w="80" w:type="dxa"/>
              <w:start w:w="120" w:type="dxa"/>
              <w:bottom w:w="80" w:type="dxa"/>
              <w:end w:w="120" w:type="dxa"/>
            </w:tcMar>
          </w:tcPr>
          <w:p>
            <w:r>
              <w:t>Typed, authenticated, authorized, auditable, and versioned.</w:t>
            </w:r>
          </w:p>
        </w:tc>
      </w:tr>
    </w:tbl>
    <w:p>
      <w:pPr>
        <w:pStyle w:val="Heading2"/>
      </w:pPr>
      <w:r>
        <w:t>4. Guarantees</w:t>
      </w:r>
    </w:p>
    <w:p>
      <w:pPr>
        <w:pStyle w:val="ListBullet"/>
        <w:spacing w:after="60"/>
      </w:pPr>
      <w:r>
        <w:t>No model is a constitutional authority.</w:t>
      </w:r>
    </w:p>
    <w:p>
      <w:pPr>
        <w:pStyle w:val="ListBullet"/>
        <w:spacing w:after="60"/>
      </w:pPr>
      <w:r>
        <w:t>HAL explains the evidence and constraints behind consequential synthesis.</w:t>
      </w:r>
    </w:p>
    <w:p>
      <w:pPr>
        <w:pStyle w:val="Heading2"/>
      </w:pPr>
      <w:r>
        <w:t>5. Failure and Recovery</w:t>
      </w:r>
    </w:p>
    <w:p>
      <w:r>
        <w:t>When required evidence, policy, identity, authority, or a dependency is unavailable, this subsystem preserves its state and evidence, discloses any degraded capability, and defers, restricts, or escalates according to its declared failure behavior. It never silently broadens authority or changes constitutional rules.</w:t>
      </w:r>
    </w:p>
    <w:p>
      <w:pPr>
        <w:pStyle w:val="Heading2"/>
      </w:pPr>
      <w:r>
        <w:t>6. Constitutional Traceability and Review</w:t>
      </w:r>
    </w:p>
    <w:p>
      <w:r>
        <w:t>This chapter implements the cited Book I decisions: 7, 9–10, 13–16, 26, 28, 32–34, 47, 51, 55–56. Constitutional and engineering review found no unresolved conflict, authority ambiguity, or Owner-level stewardship choice. Any future change follows the Book II change process and the Book I amendment rules where applicable.</w:t>
      </w:r>
    </w:p>
    <w:sectPr w:rsidR="00FC693F" w:rsidRPr="0006063C" w:rsidSect="00034616">
      <w:headerReference w:type="default" r:id="rId9"/>
      <w:footerReference w:type="default" r:id="rId10"/>
      <w:pgSz w:w="12240" w:h="15840"/>
      <w:pgMar w:top="1181" w:right="1296" w:bottom="1037" w:left="1296"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Book II • Architecture Specification • </w:t>
    </w:r>
    <w: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7" w:space="6" w:color="C8D4E3"/>
      </w:pBdr>
    </w:pPr>
    <w:r>
      <w:rPr>
        <w:color w:val="5B6573"/>
        <w:sz w:val="16"/>
      </w:rPr>
      <w:t>HAL — BOOK II: CHAPTER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26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