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8 — Attention and Resource Allocation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Allocate finite physical, financial, cognitive and human-attention resources according to constitutional responsibility, risk and Owner intent.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18, 21, 28–29, 41, 46, 54, 57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Allocate finite physical, financial, cognitive and human-attention resources according to constitutional responsibility, risk and Owner intent.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Attention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Attention Objects, focus modes, interruption decisions and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 Governor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Budgets, reservations, admission control, quality of service and emergency reserve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Policy-constrained assignment across feasible nodes and providers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Meta-Attention Reviewer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Starvation, neglected obligations and recurring blind spots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Attention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Subject, urgency, importance, responsibility, risk, confidence, novelty, persistence and Owner interest.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 Budget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 class, amount, period, owner, hard/soft limit and escalation behavior.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Focus Mode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Normal, Deep Work, Owner Conversation, Emergency, Recovery, Maintenance, Observation or Learning.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Interruption Decision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Reason, affected focus, deferred work, delivery timing and evidence.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Create or update Attention Objects from requests, incidents, commitments and reflection.</w:t>
      </w:r>
    </w:p>
    <w:p>
      <w:pPr>
        <w:pStyle w:val="ListNumber"/>
      </w:pPr>
      <w:r>
        <w:t>Apply hard constitutional, safety, privacy and resource constraints before optimization.</w:t>
      </w:r>
    </w:p>
    <w:p>
      <w:pPr>
        <w:pStyle w:val="ListNumber"/>
      </w:pPr>
      <w:r>
        <w:t>Reserve protected capacity for governance, observability and recovery.</w:t>
      </w:r>
    </w:p>
    <w:p>
      <w:pPr>
        <w:pStyle w:val="ListNumber"/>
      </w:pPr>
      <w:r>
        <w:t>Allocate remaining capacity using purpose, risk, deadline, locality, reliability and Owner preferences.</w:t>
      </w:r>
    </w:p>
    <w:p>
      <w:pPr>
        <w:pStyle w:val="ListNumber"/>
      </w:pPr>
      <w:r>
        <w:t>Record interruption, deferment, resumption and starvation review.</w:t>
      </w:r>
    </w:p>
    <w:p>
      <w:pPr>
        <w:pStyle w:val="ListNumber"/>
      </w:pPr>
      <w:r>
        <w:t>Periodically ask what is being overlooked and elevate neglected responsibilities for review.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Overload: admit constitutional and safety work first; defer optional work visibly.</w:t>
      </w:r>
    </w:p>
    <w:p>
      <w:pPr>
        <w:pStyle w:val="ListBullet"/>
      </w:pPr>
      <w:r>
        <w:t>Resource exhaustion: preserve recovery reserve and degrade quality or throughput deliberately.</w:t>
      </w:r>
    </w:p>
    <w:p>
      <w:pPr>
        <w:pStyle w:val="ListBullet"/>
      </w:pPr>
      <w:r>
        <w:t>Attention starvation: age persistent obligations into review without granting automatic execution.</w:t>
      </w:r>
    </w:p>
    <w:p>
      <w:pPr>
        <w:pStyle w:val="ListBullet"/>
      </w:pPr>
      <w:r>
        <w:t>Emergency mode: reprioritize through explicit policy; do not permanently redefine ordinary priorities.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Hard constraints are inviolable; optimization occurs only inside the permitted space.</w:t>
      </w:r>
    </w:p>
    <w:p>
      <w:pPr>
        <w:pStyle w:val="ListBullet"/>
      </w:pPr>
      <w:r>
        <w:t>No workload may starve constitutional, observability or recovery capacity.</w:t>
      </w:r>
    </w:p>
    <w:p>
      <w:pPr>
        <w:pStyle w:val="ListBullet"/>
      </w:pPr>
      <w:r>
        <w:t>Attention changes are explainable and significant shifts are retained in Attention History.</w:t>
      </w:r>
    </w:p>
    <w:p>
      <w:pPr>
        <w:pStyle w:val="ListBullet"/>
      </w:pPr>
      <w:r>
        <w:t>High activity is not success; HAL may correctly allocate attention to monitoring or non-action.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18, 21, 28–29, 41, 46, 54, 57.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