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 — Attention and Resource Allocation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18, 21, 28–29, 41, 46, 54, 57</w:t>
            </w:r>
          </w:p>
        </w:tc>
      </w:tr>
    </w:tbl>
    <w:p>
      <w:pPr>
        <w:pStyle w:val="Heading2"/>
      </w:pPr>
      <w:r>
        <w:t>1. Purpose</w:t>
      </w:r>
    </w:p>
    <w:p>
      <w:r>
        <w:t>Attention is a governed allocation of cognitive and physical capacity across conversations, incidents, intents, and maintenance.</w:t>
      </w:r>
    </w:p>
    <w:p>
      <w:pPr>
        <w:pStyle w:val="Heading2"/>
      </w:pPr>
      <w:r>
        <w:t>2. Architecture</w:t>
      </w:r>
    </w:p>
    <w:p>
      <w:pPr>
        <w:pStyle w:val="ListBullet"/>
        <w:spacing w:after="60"/>
      </w:pPr>
      <w:r>
        <w:t>Attention Objects carry urgency, importance, responsibility, risk, confidence, persistence, and Owner interest.</w:t>
      </w:r>
    </w:p>
    <w:p>
      <w:pPr>
        <w:pStyle w:val="ListBullet"/>
        <w:spacing w:after="60"/>
      </w:pPr>
      <w:r>
        <w:t>Focus modes and interruption policy are explicit and observable.</w:t>
      </w:r>
    </w:p>
    <w:p>
      <w:pPr>
        <w:pStyle w:val="ListBullet"/>
        <w:spacing w:after="60"/>
      </w:pPr>
      <w:r>
        <w:t>Starvation prevention and meta-attention review neglected obligations.</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Create attention object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Allocate budget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Interrupt request</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Focus status</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Attention is finite and transparent.</w:t>
      </w:r>
    </w:p>
    <w:p>
      <w:pPr>
        <w:pStyle w:val="ListBullet"/>
        <w:spacing w:after="60"/>
      </w:pPr>
      <w:r>
        <w:t>No workload may starve constitutional, recovery, or safety capacity.</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18, 21, 28–29, 41, 46, 54, 57.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